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4" w:lineRule="auto"/>
      </w:pPr>
      <w:r>
        <w:rPr>
          <w:spacing w:val="-2"/>
        </w:rPr>
        <w:t xml:space="preserve">南京新工新兴产业投资管理有限公司 </w:t>
      </w:r>
      <w:r>
        <w:t>202</w:t>
      </w:r>
      <w:r>
        <w:rPr>
          <w:rFonts w:hint="eastAsia"/>
          <w:lang w:val="en-US" w:eastAsia="zh-CN"/>
        </w:rPr>
        <w:t>5</w:t>
      </w:r>
      <w:r>
        <w:rPr>
          <w:spacing w:val="-18"/>
        </w:rPr>
        <w:t xml:space="preserve"> 年</w:t>
      </w:r>
      <w:r>
        <w:t>法律顾问公开选聘申报文件</w:t>
      </w:r>
    </w:p>
    <w:p>
      <w:pPr>
        <w:pStyle w:val="3"/>
        <w:spacing w:before="310" w:line="364" w:lineRule="auto"/>
        <w:ind w:right="115" w:firstLine="479"/>
        <w:jc w:val="both"/>
      </w:pPr>
      <w:r>
        <w:rPr>
          <w:spacing w:val="-2"/>
        </w:rPr>
        <w:t>南京新工新兴产业投资管理有限公司（</w:t>
      </w:r>
      <w:r>
        <w:rPr>
          <w:spacing w:val="-10"/>
        </w:rPr>
        <w:t>以下简称“新工产投”或“公司”</w:t>
      </w:r>
      <w:r>
        <w:t>）</w:t>
      </w:r>
      <w:r>
        <w:rPr>
          <w:spacing w:val="-6"/>
        </w:rPr>
        <w:t xml:space="preserve">为南京新工投资集团全资子公司，成立于 </w:t>
      </w:r>
      <w:r>
        <w:rPr>
          <w:spacing w:val="-4"/>
        </w:rPr>
        <w:t>2016</w:t>
      </w:r>
      <w:r>
        <w:rPr>
          <w:spacing w:val="-19"/>
        </w:rPr>
        <w:t xml:space="preserve"> 年 </w:t>
      </w:r>
      <w:r>
        <w:rPr>
          <w:spacing w:val="-4"/>
        </w:rPr>
        <w:t>7</w:t>
      </w:r>
      <w:r>
        <w:rPr>
          <w:spacing w:val="-9"/>
        </w:rPr>
        <w:t xml:space="preserve"> 月，是新工集团探索基金化</w:t>
      </w:r>
      <w:r>
        <w:rPr>
          <w:spacing w:val="-12"/>
        </w:rPr>
        <w:t>投资的重要试点单位。新工产投作为证券投资基金业协会备案的私募投资基金管</w:t>
      </w:r>
      <w:r>
        <w:rPr>
          <w:spacing w:val="-4"/>
        </w:rPr>
        <w:t>理人，围绕南京市及新工集团产业定位，遵循“优化南京区域产业布局，助推重</w:t>
      </w:r>
      <w:r>
        <w:rPr>
          <w:spacing w:val="-2"/>
        </w:rPr>
        <w:t>点企业发展腾飞”使命目标，前置风险管控，创造超额收益，目前管理规模</w:t>
      </w:r>
      <w:r>
        <w:rPr>
          <w:rFonts w:hint="eastAsia"/>
          <w:spacing w:val="-2"/>
          <w:lang w:val="en-US" w:eastAsia="zh-CN"/>
        </w:rPr>
        <w:t>超70</w:t>
      </w:r>
      <w:r>
        <w:rPr>
          <w:spacing w:val="-12"/>
        </w:rPr>
        <w:t>亿元。</w:t>
      </w:r>
    </w:p>
    <w:p>
      <w:pPr>
        <w:pStyle w:val="3"/>
        <w:spacing w:before="0" w:line="362" w:lineRule="auto"/>
        <w:ind w:right="112" w:firstLine="479"/>
        <w:jc w:val="both"/>
      </w:pPr>
      <w:r>
        <w:rPr>
          <w:spacing w:val="-4"/>
        </w:rPr>
        <w:t xml:space="preserve">因业务发展的需要，现决定对新工产投 </w:t>
      </w:r>
      <w:r>
        <w:rPr>
          <w:spacing w:val="-2"/>
        </w:rPr>
        <w:t>202</w:t>
      </w:r>
      <w:r>
        <w:rPr>
          <w:rFonts w:hint="eastAsia"/>
          <w:spacing w:val="-2"/>
          <w:lang w:val="en-US" w:eastAsia="zh-CN"/>
        </w:rPr>
        <w:t>5</w:t>
      </w:r>
      <w:r>
        <w:rPr>
          <w:spacing w:val="-7"/>
        </w:rPr>
        <w:t>年法律顾问进行公开选聘。相</w:t>
      </w:r>
      <w:r>
        <w:rPr>
          <w:spacing w:val="-2"/>
        </w:rPr>
        <w:t>关事项如下：</w:t>
      </w:r>
    </w:p>
    <w:p>
      <w:pPr>
        <w:pStyle w:val="3"/>
        <w:spacing w:before="6"/>
        <w:ind w:left="0" w:firstLine="0"/>
        <w:rPr>
          <w:sz w:val="18"/>
        </w:rPr>
      </w:pPr>
    </w:p>
    <w:p>
      <w:pPr>
        <w:spacing w:before="0"/>
        <w:ind w:left="602" w:right="0" w:firstLine="0"/>
        <w:jc w:val="left"/>
        <w:rPr>
          <w:b/>
          <w:sz w:val="24"/>
        </w:rPr>
      </w:pPr>
      <w:r>
        <w:rPr>
          <w:b/>
          <w:spacing w:val="-2"/>
          <w:sz w:val="24"/>
        </w:rPr>
        <w:t>一、评选申报要</w:t>
      </w:r>
      <w:r>
        <w:rPr>
          <w:b/>
          <w:spacing w:val="-10"/>
          <w:sz w:val="24"/>
        </w:rPr>
        <w:t>求</w:t>
      </w:r>
    </w:p>
    <w:p>
      <w:pPr>
        <w:pStyle w:val="3"/>
        <w:spacing w:before="7"/>
        <w:ind w:left="0" w:firstLine="0"/>
        <w:rPr>
          <w:b/>
          <w:sz w:val="18"/>
        </w:rPr>
      </w:pPr>
    </w:p>
    <w:p>
      <w:pPr>
        <w:pStyle w:val="3"/>
        <w:spacing w:before="0" w:line="364" w:lineRule="auto"/>
        <w:ind w:left="600" w:right="5784" w:firstLine="0"/>
      </w:pPr>
      <w:r>
        <w:rPr>
          <w:spacing w:val="-2"/>
        </w:rPr>
        <w:t>（一）基础申报条件 1．律师事务所要求</w:t>
      </w:r>
    </w:p>
    <w:p>
      <w:pPr>
        <w:pStyle w:val="8"/>
        <w:numPr>
          <w:ilvl w:val="0"/>
          <w:numId w:val="1"/>
        </w:numPr>
        <w:tabs>
          <w:tab w:val="left" w:pos="1202"/>
        </w:tabs>
        <w:spacing w:before="0" w:after="0" w:line="307" w:lineRule="exact"/>
        <w:ind w:left="1201" w:right="0" w:hanging="602"/>
        <w:jc w:val="left"/>
        <w:rPr>
          <w:sz w:val="24"/>
        </w:rPr>
      </w:pPr>
      <w:r>
        <w:rPr>
          <w:spacing w:val="-4"/>
          <w:sz w:val="24"/>
        </w:rPr>
        <w:t xml:space="preserve">律师事务所在南京市注册且注册时间 </w:t>
      </w:r>
      <w:r>
        <w:rPr>
          <w:sz w:val="24"/>
        </w:rPr>
        <w:t>5</w:t>
      </w:r>
      <w:r>
        <w:rPr>
          <w:spacing w:val="-15"/>
          <w:sz w:val="24"/>
        </w:rPr>
        <w:t xml:space="preserve"> 年以上</w:t>
      </w:r>
      <w:r>
        <w:rPr>
          <w:sz w:val="24"/>
        </w:rPr>
        <w:t>（提供营业执照</w:t>
      </w:r>
      <w:r>
        <w:rPr>
          <w:spacing w:val="-125"/>
          <w:sz w:val="24"/>
        </w:rPr>
        <w:t>）</w:t>
      </w:r>
      <w:r>
        <w:rPr>
          <w:spacing w:val="-5"/>
          <w:sz w:val="24"/>
        </w:rPr>
        <w:t>；</w:t>
      </w:r>
    </w:p>
    <w:p>
      <w:pPr>
        <w:pStyle w:val="8"/>
        <w:numPr>
          <w:ilvl w:val="0"/>
          <w:numId w:val="1"/>
        </w:numPr>
        <w:tabs>
          <w:tab w:val="left" w:pos="1202"/>
        </w:tabs>
        <w:spacing w:before="161" w:after="0" w:line="362" w:lineRule="auto"/>
        <w:ind w:left="120" w:right="118" w:firstLine="479"/>
        <w:jc w:val="left"/>
        <w:rPr>
          <w:sz w:val="24"/>
        </w:rPr>
      </w:pPr>
      <w:r>
        <w:rPr>
          <w:spacing w:val="-3"/>
          <w:sz w:val="24"/>
        </w:rPr>
        <w:t xml:space="preserve">律师事务所执业律师 </w:t>
      </w:r>
      <w:r>
        <w:rPr>
          <w:sz w:val="24"/>
        </w:rPr>
        <w:t>50</w:t>
      </w:r>
      <w:r>
        <w:rPr>
          <w:spacing w:val="-6"/>
          <w:sz w:val="24"/>
        </w:rPr>
        <w:t xml:space="preserve"> 人以上</w:t>
      </w:r>
      <w:r>
        <w:rPr>
          <w:sz w:val="24"/>
        </w:rPr>
        <w:t>（提供司法部门法律服务机构法律服</w:t>
      </w:r>
      <w:r>
        <w:rPr>
          <w:spacing w:val="-2"/>
          <w:sz w:val="24"/>
        </w:rPr>
        <w:t>务人员信息公开平台公示的证明</w:t>
      </w:r>
      <w:r>
        <w:rPr>
          <w:spacing w:val="-120"/>
          <w:sz w:val="24"/>
        </w:rPr>
        <w:t>）</w:t>
      </w:r>
      <w:r>
        <w:rPr>
          <w:sz w:val="24"/>
        </w:rPr>
        <w:t>；</w:t>
      </w:r>
    </w:p>
    <w:p>
      <w:pPr>
        <w:pStyle w:val="8"/>
        <w:numPr>
          <w:ilvl w:val="0"/>
          <w:numId w:val="1"/>
        </w:numPr>
        <w:tabs>
          <w:tab w:val="left" w:pos="1202"/>
        </w:tabs>
        <w:spacing w:before="5" w:after="0" w:line="362" w:lineRule="auto"/>
        <w:ind w:left="120" w:right="122" w:firstLine="479"/>
        <w:jc w:val="left"/>
        <w:rPr>
          <w:sz w:val="24"/>
        </w:rPr>
      </w:pPr>
      <w:r>
        <w:rPr>
          <w:spacing w:val="-2"/>
          <w:sz w:val="24"/>
        </w:rPr>
        <w:t>律师事务所和南京新工投资集团不存在利冲，所属律师在南京新工投资集团及系统内企业无否定性评价或不良记录。</w:t>
      </w:r>
    </w:p>
    <w:p>
      <w:pPr>
        <w:pStyle w:val="8"/>
        <w:numPr>
          <w:ilvl w:val="0"/>
          <w:numId w:val="1"/>
        </w:numPr>
        <w:tabs>
          <w:tab w:val="left" w:pos="1202"/>
        </w:tabs>
        <w:spacing w:before="5" w:after="0" w:line="362" w:lineRule="auto"/>
        <w:ind w:left="120" w:right="115" w:firstLine="479"/>
        <w:jc w:val="left"/>
        <w:rPr>
          <w:sz w:val="24"/>
        </w:rPr>
      </w:pPr>
      <w:r>
        <w:rPr>
          <w:spacing w:val="-7"/>
          <w:sz w:val="24"/>
        </w:rPr>
        <w:t>按照《证券服务机构从事证券服务业务备案管理规定》，律师事务所</w:t>
      </w:r>
      <w:r>
        <w:rPr>
          <w:spacing w:val="-2"/>
          <w:sz w:val="24"/>
        </w:rPr>
        <w:t>已经在中国证券监督管理委员会完成证券服务机构备案。</w:t>
      </w:r>
    </w:p>
    <w:p>
      <w:pPr>
        <w:pStyle w:val="3"/>
        <w:spacing w:before="5"/>
        <w:ind w:left="600" w:firstLine="0"/>
      </w:pPr>
      <w:r>
        <w:t>2．</w:t>
      </w:r>
      <w:r>
        <w:rPr>
          <w:spacing w:val="-2"/>
        </w:rPr>
        <w:t>负责律师要求</w:t>
      </w:r>
    </w:p>
    <w:p>
      <w:pPr>
        <w:pStyle w:val="3"/>
        <w:ind w:left="600" w:firstLine="0"/>
      </w:pPr>
      <w:r>
        <w:t>（1）10</w:t>
      </w:r>
      <w:r>
        <w:rPr>
          <w:spacing w:val="-8"/>
        </w:rPr>
        <w:t xml:space="preserve"> 年以上执业经验</w:t>
      </w:r>
      <w:r>
        <w:t>（提供执业证书</w:t>
      </w:r>
      <w:r>
        <w:rPr>
          <w:spacing w:val="-124"/>
        </w:rPr>
        <w:t>）</w:t>
      </w:r>
      <w:r>
        <w:rPr>
          <w:spacing w:val="-5"/>
        </w:rPr>
        <w:t>；</w:t>
      </w:r>
    </w:p>
    <w:p>
      <w:pPr>
        <w:pStyle w:val="3"/>
        <w:spacing w:before="161"/>
        <w:ind w:left="600" w:firstLine="0"/>
      </w:pPr>
      <w:r>
        <w:t>（2）近三年（202</w:t>
      </w:r>
      <w:r>
        <w:rPr>
          <w:rFonts w:hint="eastAsia"/>
          <w:lang w:val="en-US" w:eastAsia="zh-CN"/>
        </w:rPr>
        <w:t>3</w:t>
      </w:r>
      <w:r>
        <w:rPr>
          <w:spacing w:val="-16"/>
        </w:rPr>
        <w:t xml:space="preserve"> 年-</w:t>
      </w:r>
      <w:r>
        <w:t>202</w:t>
      </w:r>
      <w:r>
        <w:rPr>
          <w:rFonts w:hint="eastAsia"/>
          <w:lang w:val="en-US" w:eastAsia="zh-CN"/>
        </w:rPr>
        <w:t>5</w:t>
      </w:r>
      <w:bookmarkStart w:id="0" w:name="_GoBack"/>
      <w:bookmarkEnd w:id="0"/>
      <w:r>
        <w:t>年）</w:t>
      </w:r>
      <w:r>
        <w:rPr>
          <w:spacing w:val="-1"/>
        </w:rPr>
        <w:t>担任过国有资本基金管理公司的法律顾问</w:t>
      </w:r>
    </w:p>
    <w:p>
      <w:pPr>
        <w:pStyle w:val="3"/>
        <w:spacing w:line="364" w:lineRule="auto"/>
        <w:ind w:left="600" w:right="863" w:hanging="480"/>
      </w:pPr>
      <w:r>
        <w:rPr>
          <w:spacing w:val="-2"/>
        </w:rPr>
        <w:t>（提供法律服务协议，协议签名与申报律师团队负责律师须为同一人</w:t>
      </w:r>
      <w:r>
        <w:rPr>
          <w:spacing w:val="-120"/>
        </w:rPr>
        <w:t>）</w:t>
      </w:r>
      <w:r>
        <w:rPr>
          <w:spacing w:val="-2"/>
        </w:rPr>
        <w:t>。 3．规范要求</w:t>
      </w:r>
    </w:p>
    <w:p>
      <w:pPr>
        <w:pStyle w:val="3"/>
        <w:spacing w:before="0" w:line="306" w:lineRule="exact"/>
        <w:ind w:left="600" w:firstLine="0"/>
      </w:pPr>
      <w:r>
        <w:rPr>
          <w:spacing w:val="-1"/>
        </w:rPr>
        <w:t>提供公告附件中承诺函、联系人确认函盖章件。</w:t>
      </w:r>
    </w:p>
    <w:p>
      <w:pPr>
        <w:pStyle w:val="2"/>
        <w:spacing w:before="160"/>
        <w:rPr>
          <w:u w:val="none"/>
        </w:rPr>
      </w:pPr>
      <w:r>
        <w:rPr>
          <w:spacing w:val="-2"/>
          <w:u w:val="single"/>
        </w:rPr>
        <w:t>以上要求，如未能提供对应资料，则不能入围本次评选</w:t>
      </w:r>
      <w:r>
        <w:rPr>
          <w:spacing w:val="-10"/>
          <w:u w:val="single"/>
        </w:rPr>
        <w:t>。</w:t>
      </w:r>
    </w:p>
    <w:p>
      <w:pPr>
        <w:pStyle w:val="3"/>
        <w:spacing w:before="159"/>
        <w:ind w:left="600" w:firstLine="0"/>
      </w:pPr>
      <w:r>
        <w:t>（二）</w:t>
      </w:r>
      <w:r>
        <w:rPr>
          <w:spacing w:val="-3"/>
        </w:rPr>
        <w:t>服务方案</w:t>
      </w:r>
    </w:p>
    <w:p>
      <w:pPr>
        <w:spacing w:after="0"/>
        <w:sectPr>
          <w:type w:val="continuous"/>
          <w:pgSz w:w="11910" w:h="16840"/>
          <w:pgMar w:top="1380" w:right="1680" w:bottom="280" w:left="1680" w:header="720" w:footer="720" w:gutter="0"/>
          <w:cols w:space="720" w:num="1"/>
        </w:sectPr>
      </w:pPr>
    </w:p>
    <w:p>
      <w:pPr>
        <w:pStyle w:val="8"/>
        <w:numPr>
          <w:ilvl w:val="0"/>
          <w:numId w:val="2"/>
        </w:numPr>
        <w:tabs>
          <w:tab w:val="left" w:pos="962"/>
        </w:tabs>
        <w:spacing w:before="42" w:after="0" w:line="240" w:lineRule="auto"/>
        <w:ind w:left="961" w:right="0" w:hanging="362"/>
        <w:jc w:val="left"/>
        <w:rPr>
          <w:sz w:val="24"/>
        </w:rPr>
      </w:pPr>
      <w:r>
        <w:rPr>
          <w:spacing w:val="-1"/>
          <w:sz w:val="24"/>
        </w:rPr>
        <w:t>律师事务所拟指派负责律师及律师团队配备情况；</w:t>
      </w:r>
    </w:p>
    <w:p>
      <w:pPr>
        <w:pStyle w:val="8"/>
        <w:numPr>
          <w:ilvl w:val="0"/>
          <w:numId w:val="2"/>
        </w:numPr>
        <w:tabs>
          <w:tab w:val="left" w:pos="962"/>
        </w:tabs>
        <w:spacing w:before="160" w:after="0" w:line="240" w:lineRule="auto"/>
        <w:ind w:left="961" w:right="0" w:hanging="362"/>
        <w:jc w:val="left"/>
        <w:rPr>
          <w:sz w:val="24"/>
        </w:rPr>
      </w:pPr>
      <w:r>
        <w:rPr>
          <w:spacing w:val="-1"/>
          <w:sz w:val="24"/>
        </w:rPr>
        <w:t>法律服务质量保证措施；</w:t>
      </w:r>
    </w:p>
    <w:p>
      <w:pPr>
        <w:pStyle w:val="8"/>
        <w:numPr>
          <w:ilvl w:val="0"/>
          <w:numId w:val="2"/>
        </w:numPr>
        <w:tabs>
          <w:tab w:val="left" w:pos="962"/>
        </w:tabs>
        <w:spacing w:before="158" w:after="0" w:line="240" w:lineRule="auto"/>
        <w:ind w:left="961" w:right="0" w:hanging="362"/>
        <w:jc w:val="left"/>
        <w:rPr>
          <w:sz w:val="24"/>
        </w:rPr>
      </w:pPr>
      <w:r>
        <w:rPr>
          <w:spacing w:val="-1"/>
          <w:sz w:val="24"/>
        </w:rPr>
        <w:t>顾问单位重大紧急事件的服务应急方案；</w:t>
      </w:r>
    </w:p>
    <w:p>
      <w:pPr>
        <w:pStyle w:val="8"/>
        <w:numPr>
          <w:ilvl w:val="0"/>
          <w:numId w:val="2"/>
        </w:numPr>
        <w:tabs>
          <w:tab w:val="left" w:pos="962"/>
        </w:tabs>
        <w:spacing w:before="161" w:after="0" w:line="240" w:lineRule="auto"/>
        <w:ind w:left="961" w:right="0" w:hanging="362"/>
        <w:jc w:val="left"/>
        <w:rPr>
          <w:sz w:val="24"/>
        </w:rPr>
      </w:pPr>
      <w:r>
        <w:rPr>
          <w:spacing w:val="-1"/>
          <w:sz w:val="24"/>
        </w:rPr>
        <w:t>服务方案还需提供以下承诺：</w:t>
      </w:r>
    </w:p>
    <w:p>
      <w:pPr>
        <w:pStyle w:val="8"/>
        <w:numPr>
          <w:ilvl w:val="0"/>
          <w:numId w:val="3"/>
        </w:numPr>
        <w:tabs>
          <w:tab w:val="left" w:pos="1202"/>
        </w:tabs>
        <w:spacing w:before="158" w:after="0" w:line="364" w:lineRule="auto"/>
        <w:ind w:left="120" w:right="121" w:firstLine="479"/>
        <w:jc w:val="left"/>
        <w:rPr>
          <w:sz w:val="24"/>
        </w:rPr>
      </w:pPr>
      <w:r>
        <w:rPr>
          <w:spacing w:val="-2"/>
          <w:sz w:val="24"/>
        </w:rPr>
        <w:t>为顾问单位的日常运行管理、经营活动提供法律咨询意见；对顾问单位的重大项目、“三重一大”决策提供全程法律咨询以及法律风险评估。</w:t>
      </w:r>
    </w:p>
    <w:p>
      <w:pPr>
        <w:pStyle w:val="8"/>
        <w:numPr>
          <w:ilvl w:val="0"/>
          <w:numId w:val="3"/>
        </w:numPr>
        <w:tabs>
          <w:tab w:val="left" w:pos="1202"/>
        </w:tabs>
        <w:spacing w:before="0" w:after="0" w:line="364" w:lineRule="auto"/>
        <w:ind w:left="120" w:right="124" w:firstLine="479"/>
        <w:jc w:val="left"/>
        <w:rPr>
          <w:sz w:val="24"/>
        </w:rPr>
      </w:pPr>
      <w:r>
        <w:rPr>
          <w:spacing w:val="-2"/>
          <w:sz w:val="24"/>
        </w:rPr>
        <w:t>参与顾问单位重大决策的研究论证和重要规范性文件的合法性审查工</w:t>
      </w:r>
      <w:r>
        <w:rPr>
          <w:spacing w:val="-6"/>
          <w:sz w:val="24"/>
        </w:rPr>
        <w:t>作。</w:t>
      </w:r>
    </w:p>
    <w:p>
      <w:pPr>
        <w:pStyle w:val="8"/>
        <w:numPr>
          <w:ilvl w:val="0"/>
          <w:numId w:val="3"/>
        </w:numPr>
        <w:tabs>
          <w:tab w:val="left" w:pos="1202"/>
        </w:tabs>
        <w:spacing w:before="0" w:after="0" w:line="307" w:lineRule="exact"/>
        <w:ind w:left="1201" w:right="0" w:hanging="602"/>
        <w:jc w:val="left"/>
        <w:rPr>
          <w:sz w:val="24"/>
        </w:rPr>
      </w:pPr>
      <w:r>
        <w:rPr>
          <w:sz w:val="24"/>
        </w:rPr>
        <w:t>参与顾问单位（含受托管理基金）</w:t>
      </w:r>
      <w:r>
        <w:rPr>
          <w:spacing w:val="-1"/>
          <w:sz w:val="24"/>
        </w:rPr>
        <w:t>重大涉诉案件的研究讨论。</w:t>
      </w:r>
    </w:p>
    <w:p>
      <w:pPr>
        <w:pStyle w:val="8"/>
        <w:numPr>
          <w:ilvl w:val="0"/>
          <w:numId w:val="3"/>
        </w:numPr>
        <w:tabs>
          <w:tab w:val="left" w:pos="1202"/>
        </w:tabs>
        <w:spacing w:before="159" w:after="0" w:line="362" w:lineRule="auto"/>
        <w:ind w:left="120" w:right="123" w:firstLine="479"/>
        <w:jc w:val="left"/>
        <w:rPr>
          <w:sz w:val="24"/>
        </w:rPr>
      </w:pPr>
      <w:r>
        <w:rPr>
          <w:spacing w:val="-2"/>
          <w:sz w:val="24"/>
        </w:rPr>
        <w:t>受顾问单位委托，代理顾问单位参与相关诉讼、仲裁案件的处理，并承诺一定的收费折扣。</w:t>
      </w:r>
    </w:p>
    <w:p>
      <w:pPr>
        <w:pStyle w:val="8"/>
        <w:numPr>
          <w:ilvl w:val="0"/>
          <w:numId w:val="3"/>
        </w:numPr>
        <w:tabs>
          <w:tab w:val="left" w:pos="1202"/>
        </w:tabs>
        <w:spacing w:before="5" w:after="0" w:line="362" w:lineRule="auto"/>
        <w:ind w:left="120" w:right="124" w:firstLine="479"/>
        <w:jc w:val="left"/>
        <w:rPr>
          <w:sz w:val="24"/>
        </w:rPr>
      </w:pPr>
      <w:r>
        <w:rPr>
          <w:spacing w:val="-2"/>
          <w:sz w:val="24"/>
        </w:rPr>
        <w:t>受顾问单位委托，参加重大项目的谈判、合同和协议的签订、审查等</w:t>
      </w:r>
      <w:r>
        <w:rPr>
          <w:spacing w:val="-4"/>
          <w:sz w:val="24"/>
        </w:rPr>
        <w:t>工作。</w:t>
      </w:r>
    </w:p>
    <w:p>
      <w:pPr>
        <w:pStyle w:val="8"/>
        <w:numPr>
          <w:ilvl w:val="0"/>
          <w:numId w:val="3"/>
        </w:numPr>
        <w:tabs>
          <w:tab w:val="left" w:pos="1202"/>
        </w:tabs>
        <w:spacing w:before="5" w:after="0" w:line="240" w:lineRule="auto"/>
        <w:ind w:left="1201" w:right="0" w:hanging="602"/>
        <w:jc w:val="left"/>
        <w:rPr>
          <w:sz w:val="24"/>
        </w:rPr>
      </w:pPr>
      <w:r>
        <w:rPr>
          <w:spacing w:val="-1"/>
          <w:sz w:val="24"/>
        </w:rPr>
        <w:t>定期派律师在顾问单位提供法律咨询。</w:t>
      </w:r>
    </w:p>
    <w:p>
      <w:pPr>
        <w:pStyle w:val="8"/>
        <w:numPr>
          <w:ilvl w:val="0"/>
          <w:numId w:val="3"/>
        </w:numPr>
        <w:tabs>
          <w:tab w:val="left" w:pos="1202"/>
        </w:tabs>
        <w:spacing w:before="158" w:after="0" w:line="240" w:lineRule="auto"/>
        <w:ind w:left="1201" w:right="0" w:hanging="602"/>
        <w:jc w:val="left"/>
        <w:rPr>
          <w:sz w:val="24"/>
        </w:rPr>
      </w:pPr>
      <w:r>
        <w:rPr>
          <w:spacing w:val="-1"/>
          <w:sz w:val="24"/>
        </w:rPr>
        <w:t>办理顾问单位交办或委托的其他法律事务。</w:t>
      </w:r>
    </w:p>
    <w:p>
      <w:pPr>
        <w:pStyle w:val="2"/>
        <w:spacing w:before="161"/>
        <w:rPr>
          <w:u w:val="none"/>
        </w:rPr>
      </w:pPr>
      <w:r>
        <w:rPr>
          <w:spacing w:val="-2"/>
          <w:u w:val="single"/>
        </w:rPr>
        <w:t>对以上服务方案各项要求的响应，影响本次评选的评分</w:t>
      </w:r>
      <w:r>
        <w:rPr>
          <w:spacing w:val="-10"/>
          <w:u w:val="single"/>
        </w:rPr>
        <w:t>。</w:t>
      </w:r>
    </w:p>
    <w:p>
      <w:pPr>
        <w:pStyle w:val="3"/>
        <w:spacing w:before="161"/>
        <w:ind w:left="600" w:firstLine="0"/>
      </w:pPr>
      <w:r>
        <w:t>（三）</w:t>
      </w:r>
      <w:r>
        <w:rPr>
          <w:spacing w:val="-1"/>
        </w:rPr>
        <w:t>负责律师能力及业绩要求</w:t>
      </w:r>
    </w:p>
    <w:p>
      <w:pPr>
        <w:pStyle w:val="8"/>
        <w:numPr>
          <w:ilvl w:val="0"/>
          <w:numId w:val="4"/>
        </w:numPr>
        <w:tabs>
          <w:tab w:val="left" w:pos="962"/>
        </w:tabs>
        <w:spacing w:before="158" w:after="0" w:line="240" w:lineRule="auto"/>
        <w:ind w:left="961" w:right="0" w:hanging="362"/>
        <w:jc w:val="left"/>
        <w:rPr>
          <w:sz w:val="24"/>
        </w:rPr>
      </w:pPr>
      <w:r>
        <w:rPr>
          <w:spacing w:val="-1"/>
          <w:sz w:val="24"/>
        </w:rPr>
        <w:t>负责律师教育背景、从业经历等综合能力；</w:t>
      </w:r>
    </w:p>
    <w:p>
      <w:pPr>
        <w:pStyle w:val="8"/>
        <w:numPr>
          <w:ilvl w:val="0"/>
          <w:numId w:val="4"/>
        </w:numPr>
        <w:tabs>
          <w:tab w:val="left" w:pos="962"/>
        </w:tabs>
        <w:spacing w:before="160" w:after="0" w:line="240" w:lineRule="auto"/>
        <w:ind w:left="961" w:right="0" w:hanging="362"/>
        <w:jc w:val="left"/>
        <w:rPr>
          <w:sz w:val="24"/>
        </w:rPr>
      </w:pPr>
      <w:r>
        <w:rPr>
          <w:spacing w:val="-1"/>
          <w:sz w:val="24"/>
        </w:rPr>
        <w:t>负责律师为国有资本基金管理公司的服务业绩；</w:t>
      </w:r>
    </w:p>
    <w:p>
      <w:pPr>
        <w:pStyle w:val="8"/>
        <w:numPr>
          <w:ilvl w:val="0"/>
          <w:numId w:val="4"/>
        </w:numPr>
        <w:tabs>
          <w:tab w:val="left" w:pos="962"/>
        </w:tabs>
        <w:spacing w:before="158" w:after="0" w:line="240" w:lineRule="auto"/>
        <w:ind w:left="961" w:right="0" w:hanging="362"/>
        <w:jc w:val="left"/>
        <w:rPr>
          <w:sz w:val="24"/>
        </w:rPr>
      </w:pPr>
      <w:r>
        <w:rPr>
          <w:spacing w:val="-1"/>
          <w:sz w:val="24"/>
        </w:rPr>
        <w:t>负责律师参与重大、疑难法律工作业绩；</w:t>
      </w:r>
    </w:p>
    <w:p>
      <w:pPr>
        <w:pStyle w:val="8"/>
        <w:numPr>
          <w:ilvl w:val="0"/>
          <w:numId w:val="4"/>
        </w:numPr>
        <w:tabs>
          <w:tab w:val="left" w:pos="962"/>
        </w:tabs>
        <w:spacing w:before="161" w:after="0" w:line="362" w:lineRule="auto"/>
        <w:ind w:left="602" w:right="622" w:hanging="3"/>
        <w:jc w:val="left"/>
        <w:rPr>
          <w:b/>
          <w:sz w:val="24"/>
        </w:rPr>
      </w:pPr>
      <w:r>
        <w:rPr>
          <w:spacing w:val="-2"/>
          <w:sz w:val="24"/>
        </w:rPr>
        <w:t>负责律师工作实绩，包括金融服务、企业风险管理、诉讼案例等。</w:t>
      </w:r>
      <w:r>
        <w:rPr>
          <w:b/>
          <w:spacing w:val="-2"/>
          <w:sz w:val="24"/>
          <w:u w:val="single"/>
        </w:rPr>
        <w:t>对以上能力及业绩要求，必须提供负责律师本人的工作实绩材料。</w:t>
      </w:r>
    </w:p>
    <w:p>
      <w:pPr>
        <w:pStyle w:val="2"/>
        <w:spacing w:before="5"/>
        <w:rPr>
          <w:u w:val="none"/>
        </w:rPr>
      </w:pPr>
      <w:r>
        <w:rPr>
          <w:spacing w:val="-6"/>
          <w:u w:val="single"/>
        </w:rPr>
        <w:t>材料提供是否真实、详尽，是否负责律师本人实绩，影响本次评选的评分</w:t>
      </w:r>
      <w:r>
        <w:rPr>
          <w:spacing w:val="-10"/>
          <w:u w:val="single"/>
        </w:rPr>
        <w:t>。</w:t>
      </w:r>
    </w:p>
    <w:p>
      <w:pPr>
        <w:pStyle w:val="3"/>
        <w:spacing w:before="5"/>
        <w:ind w:left="0" w:firstLine="0"/>
        <w:rPr>
          <w:b/>
          <w:sz w:val="19"/>
        </w:rPr>
      </w:pPr>
    </w:p>
    <w:p>
      <w:pPr>
        <w:spacing w:before="66"/>
        <w:ind w:left="602" w:right="0" w:firstLine="0"/>
        <w:jc w:val="left"/>
        <w:rPr>
          <w:b/>
          <w:sz w:val="24"/>
        </w:rPr>
      </w:pPr>
      <w:r>
        <w:rPr>
          <w:b/>
          <w:spacing w:val="-4"/>
          <w:sz w:val="24"/>
        </w:rPr>
        <w:t>二、报价</w:t>
      </w:r>
    </w:p>
    <w:p>
      <w:pPr>
        <w:pStyle w:val="3"/>
        <w:spacing w:before="9"/>
        <w:ind w:left="0" w:firstLine="0"/>
        <w:rPr>
          <w:b/>
        </w:rPr>
      </w:pPr>
    </w:p>
    <w:p>
      <w:pPr>
        <w:spacing w:before="0" w:line="484" w:lineRule="auto"/>
        <w:ind w:left="602" w:right="3073" w:hanging="3"/>
        <w:jc w:val="left"/>
        <w:rPr>
          <w:b/>
          <w:sz w:val="24"/>
        </w:rPr>
      </w:pPr>
      <w:r>
        <w:rPr>
          <w:spacing w:val="-2"/>
          <w:sz w:val="24"/>
        </w:rPr>
        <w:t>最高限价</w:t>
      </w:r>
      <w:r>
        <w:rPr>
          <w:b/>
          <w:spacing w:val="-2"/>
          <w:sz w:val="24"/>
        </w:rPr>
        <w:t>￥120000</w:t>
      </w:r>
      <w:r>
        <w:rPr>
          <w:b/>
          <w:spacing w:val="-47"/>
          <w:sz w:val="24"/>
        </w:rPr>
        <w:t xml:space="preserve"> </w:t>
      </w:r>
      <w:r>
        <w:rPr>
          <w:spacing w:val="-2"/>
          <w:sz w:val="24"/>
        </w:rPr>
        <w:t>元（大写：</w:t>
      </w:r>
      <w:r>
        <w:rPr>
          <w:b/>
          <w:spacing w:val="-2"/>
          <w:sz w:val="24"/>
        </w:rPr>
        <w:t>壹拾贰</w:t>
      </w:r>
      <w:r>
        <w:rPr>
          <w:spacing w:val="-2"/>
          <w:sz w:val="24"/>
        </w:rPr>
        <w:t>万元整）</w:t>
      </w:r>
      <w:r>
        <w:rPr>
          <w:b/>
          <w:spacing w:val="-2"/>
          <w:sz w:val="24"/>
        </w:rPr>
        <w:t>三、评选文件</w:t>
      </w:r>
    </w:p>
    <w:p>
      <w:pPr>
        <w:pStyle w:val="3"/>
        <w:spacing w:before="3"/>
        <w:ind w:left="600" w:firstLine="0"/>
      </w:pPr>
      <w:r>
        <w:t>（一）</w:t>
      </w:r>
      <w:r>
        <w:rPr>
          <w:spacing w:val="-3"/>
        </w:rPr>
        <w:t>文件目录</w:t>
      </w:r>
    </w:p>
    <w:p>
      <w:pPr>
        <w:pStyle w:val="8"/>
        <w:numPr>
          <w:ilvl w:val="0"/>
          <w:numId w:val="5"/>
        </w:numPr>
        <w:tabs>
          <w:tab w:val="left" w:pos="962"/>
        </w:tabs>
        <w:spacing w:before="158" w:after="0" w:line="240" w:lineRule="auto"/>
        <w:ind w:left="961" w:right="0" w:hanging="362"/>
        <w:jc w:val="left"/>
        <w:rPr>
          <w:sz w:val="24"/>
        </w:rPr>
      </w:pPr>
      <w:r>
        <w:rPr>
          <w:spacing w:val="-1"/>
          <w:sz w:val="24"/>
        </w:rPr>
        <w:t>基础申报要求中所列律师事务所和负责律师材料；</w:t>
      </w:r>
    </w:p>
    <w:p>
      <w:pPr>
        <w:spacing w:after="0" w:line="240" w:lineRule="auto"/>
        <w:jc w:val="left"/>
        <w:rPr>
          <w:sz w:val="24"/>
        </w:rPr>
        <w:sectPr>
          <w:pgSz w:w="11910" w:h="16840"/>
          <w:pgMar w:top="1380" w:right="1680" w:bottom="280" w:left="1680" w:header="720" w:footer="720" w:gutter="0"/>
          <w:cols w:space="720" w:num="1"/>
        </w:sectPr>
      </w:pPr>
    </w:p>
    <w:p>
      <w:pPr>
        <w:pStyle w:val="8"/>
        <w:numPr>
          <w:ilvl w:val="0"/>
          <w:numId w:val="5"/>
        </w:numPr>
        <w:tabs>
          <w:tab w:val="left" w:pos="962"/>
        </w:tabs>
        <w:spacing w:before="42" w:after="0" w:line="240" w:lineRule="auto"/>
        <w:ind w:left="961" w:right="0" w:hanging="362"/>
        <w:jc w:val="left"/>
        <w:rPr>
          <w:sz w:val="24"/>
        </w:rPr>
      </w:pPr>
      <w:r>
        <w:rPr>
          <w:spacing w:val="-2"/>
          <w:sz w:val="24"/>
        </w:rPr>
        <w:t>服务方案；</w:t>
      </w:r>
    </w:p>
    <w:p>
      <w:pPr>
        <w:pStyle w:val="8"/>
        <w:numPr>
          <w:ilvl w:val="0"/>
          <w:numId w:val="5"/>
        </w:numPr>
        <w:tabs>
          <w:tab w:val="left" w:pos="962"/>
        </w:tabs>
        <w:spacing w:before="160" w:after="0" w:line="240" w:lineRule="auto"/>
        <w:ind w:left="961" w:right="0" w:hanging="362"/>
        <w:jc w:val="left"/>
        <w:rPr>
          <w:sz w:val="24"/>
        </w:rPr>
      </w:pPr>
      <w:r>
        <w:rPr>
          <w:spacing w:val="-1"/>
          <w:sz w:val="24"/>
        </w:rPr>
        <w:t>负责律师能力及业绩证明材料；</w:t>
      </w:r>
    </w:p>
    <w:p>
      <w:pPr>
        <w:pStyle w:val="8"/>
        <w:numPr>
          <w:ilvl w:val="0"/>
          <w:numId w:val="5"/>
        </w:numPr>
        <w:tabs>
          <w:tab w:val="left" w:pos="962"/>
        </w:tabs>
        <w:spacing w:before="158" w:after="0" w:line="240" w:lineRule="auto"/>
        <w:ind w:left="961" w:right="0" w:hanging="362"/>
        <w:jc w:val="left"/>
        <w:rPr>
          <w:sz w:val="24"/>
        </w:rPr>
      </w:pPr>
      <w:r>
        <w:rPr>
          <w:spacing w:val="-1"/>
          <w:sz w:val="24"/>
        </w:rPr>
        <w:t>承诺函、联系人确认函盖章原件；</w:t>
      </w:r>
    </w:p>
    <w:p>
      <w:pPr>
        <w:pStyle w:val="8"/>
        <w:numPr>
          <w:ilvl w:val="0"/>
          <w:numId w:val="5"/>
        </w:numPr>
        <w:tabs>
          <w:tab w:val="left" w:pos="962"/>
        </w:tabs>
        <w:spacing w:before="161" w:after="0" w:line="240" w:lineRule="auto"/>
        <w:ind w:left="961" w:right="0" w:hanging="362"/>
        <w:jc w:val="left"/>
        <w:rPr>
          <w:sz w:val="24"/>
        </w:rPr>
      </w:pPr>
      <w:r>
        <w:rPr>
          <w:spacing w:val="-3"/>
          <w:sz w:val="24"/>
        </w:rPr>
        <w:t>报价函。</w:t>
      </w:r>
    </w:p>
    <w:p>
      <w:pPr>
        <w:pStyle w:val="3"/>
        <w:ind w:left="600" w:firstLine="0"/>
      </w:pPr>
      <w:r>
        <w:t>（二）</w:t>
      </w:r>
      <w:r>
        <w:rPr>
          <w:spacing w:val="-3"/>
        </w:rPr>
        <w:t>文件封装</w:t>
      </w:r>
    </w:p>
    <w:p>
      <w:pPr>
        <w:pStyle w:val="8"/>
        <w:numPr>
          <w:ilvl w:val="0"/>
          <w:numId w:val="6"/>
        </w:numPr>
        <w:tabs>
          <w:tab w:val="left" w:pos="962"/>
        </w:tabs>
        <w:spacing w:before="160" w:after="0" w:line="240" w:lineRule="auto"/>
        <w:ind w:left="961" w:right="0" w:hanging="362"/>
        <w:jc w:val="left"/>
        <w:rPr>
          <w:sz w:val="24"/>
        </w:rPr>
      </w:pPr>
      <w:r>
        <w:rPr>
          <w:spacing w:val="-7"/>
          <w:sz w:val="24"/>
        </w:rPr>
        <w:t xml:space="preserve">参评文件一律采用 </w:t>
      </w:r>
      <w:r>
        <w:rPr>
          <w:sz w:val="24"/>
        </w:rPr>
        <w:t>A4</w:t>
      </w:r>
      <w:r>
        <w:rPr>
          <w:spacing w:val="-9"/>
          <w:sz w:val="24"/>
        </w:rPr>
        <w:t xml:space="preserve"> 纸印制，一式两份；</w:t>
      </w:r>
    </w:p>
    <w:p>
      <w:pPr>
        <w:pStyle w:val="8"/>
        <w:numPr>
          <w:ilvl w:val="0"/>
          <w:numId w:val="6"/>
        </w:numPr>
        <w:tabs>
          <w:tab w:val="left" w:pos="962"/>
        </w:tabs>
        <w:spacing w:before="159" w:after="0" w:line="364" w:lineRule="auto"/>
        <w:ind w:left="120" w:right="124" w:firstLine="479"/>
        <w:jc w:val="left"/>
        <w:rPr>
          <w:sz w:val="24"/>
        </w:rPr>
      </w:pPr>
      <w:r>
        <w:rPr>
          <w:spacing w:val="-2"/>
          <w:sz w:val="24"/>
        </w:rPr>
        <w:t>报价文件必须密封封装。其余文件不密封，并按文件目录和评选申报要求中的表述顺序装订。</w:t>
      </w:r>
    </w:p>
    <w:p>
      <w:pPr>
        <w:pStyle w:val="2"/>
        <w:spacing w:line="364" w:lineRule="auto"/>
        <w:ind w:left="120" w:right="115" w:firstLine="482"/>
        <w:rPr>
          <w:u w:val="none"/>
        </w:rPr>
      </w:pPr>
      <w:r>
        <w:rPr>
          <w:spacing w:val="-2"/>
          <w:u w:val="single"/>
        </w:rPr>
        <w:t>报价函未密封的，丧失本次评选资格；未按顺序组织评选资料的，影响评</w:t>
      </w:r>
      <w:r>
        <w:rPr>
          <w:spacing w:val="80"/>
          <w:w w:val="150"/>
          <w:u w:val="single"/>
        </w:rPr>
        <w:t xml:space="preserve">                                         </w:t>
      </w:r>
      <w:r>
        <w:rPr>
          <w:spacing w:val="-6"/>
          <w:u w:val="single"/>
        </w:rPr>
        <w:t>分。</w:t>
      </w:r>
    </w:p>
    <w:p>
      <w:pPr>
        <w:spacing w:before="154"/>
        <w:ind w:left="602" w:right="0" w:firstLine="0"/>
        <w:jc w:val="left"/>
        <w:rPr>
          <w:b/>
          <w:sz w:val="24"/>
        </w:rPr>
      </w:pPr>
      <w:r>
        <w:rPr>
          <w:b/>
          <w:spacing w:val="-2"/>
          <w:sz w:val="24"/>
        </w:rPr>
        <w:t>四、其他事</w:t>
      </w:r>
      <w:r>
        <w:rPr>
          <w:b/>
          <w:spacing w:val="-10"/>
          <w:sz w:val="24"/>
        </w:rPr>
        <w:t>项</w:t>
      </w:r>
    </w:p>
    <w:p>
      <w:pPr>
        <w:pStyle w:val="3"/>
        <w:spacing w:before="9"/>
        <w:ind w:left="0" w:firstLine="0"/>
        <w:rPr>
          <w:b/>
        </w:rPr>
      </w:pPr>
    </w:p>
    <w:p>
      <w:pPr>
        <w:pStyle w:val="8"/>
        <w:numPr>
          <w:ilvl w:val="0"/>
          <w:numId w:val="7"/>
        </w:numPr>
        <w:tabs>
          <w:tab w:val="left" w:pos="962"/>
        </w:tabs>
        <w:spacing w:before="0" w:after="0" w:line="240" w:lineRule="auto"/>
        <w:ind w:left="961" w:right="0" w:hanging="362"/>
        <w:jc w:val="left"/>
        <w:rPr>
          <w:sz w:val="24"/>
        </w:rPr>
      </w:pPr>
      <w:r>
        <w:rPr>
          <w:spacing w:val="-1"/>
          <w:sz w:val="24"/>
        </w:rPr>
        <w:t>参与评选的律师事务所和律师必须对评选材料的真实性与准确性负责。</w:t>
      </w:r>
    </w:p>
    <w:p>
      <w:pPr>
        <w:pStyle w:val="8"/>
        <w:numPr>
          <w:ilvl w:val="0"/>
          <w:numId w:val="7"/>
        </w:numPr>
        <w:tabs>
          <w:tab w:val="left" w:pos="962"/>
        </w:tabs>
        <w:spacing w:before="158" w:after="0" w:line="364" w:lineRule="auto"/>
        <w:ind w:left="120" w:right="122" w:firstLine="479"/>
        <w:jc w:val="left"/>
        <w:rPr>
          <w:sz w:val="24"/>
        </w:rPr>
      </w:pPr>
      <w:r>
        <w:rPr>
          <w:spacing w:val="-2"/>
          <w:sz w:val="24"/>
        </w:rPr>
        <w:t>南京新工新兴产业投资管理有限公司有权要求参加评选的律师事务所和负责律师就申报材料做进一步说明，并保留现场问答和议价的权利。</w:t>
      </w:r>
    </w:p>
    <w:p>
      <w:pPr>
        <w:pStyle w:val="8"/>
        <w:numPr>
          <w:ilvl w:val="0"/>
          <w:numId w:val="7"/>
        </w:numPr>
        <w:tabs>
          <w:tab w:val="left" w:pos="962"/>
        </w:tabs>
        <w:spacing w:before="0" w:after="0" w:line="364" w:lineRule="auto"/>
        <w:ind w:left="120" w:right="122" w:firstLine="479"/>
        <w:jc w:val="left"/>
        <w:rPr>
          <w:sz w:val="24"/>
        </w:rPr>
      </w:pPr>
      <w:r>
        <w:rPr>
          <w:spacing w:val="-2"/>
          <w:sz w:val="24"/>
        </w:rPr>
        <w:t>中选律师事务所实行聘期制，期限为一年。中选律所在合同期内各项工作符合顾问单位要求的，服务合同可按原条件续展一年。</w:t>
      </w:r>
    </w:p>
    <w:p>
      <w:pPr>
        <w:pStyle w:val="8"/>
        <w:numPr>
          <w:ilvl w:val="0"/>
          <w:numId w:val="7"/>
        </w:numPr>
        <w:tabs>
          <w:tab w:val="left" w:pos="962"/>
        </w:tabs>
        <w:spacing w:before="0" w:after="0" w:line="364" w:lineRule="auto"/>
        <w:ind w:left="120" w:right="113" w:firstLine="479"/>
        <w:jc w:val="both"/>
        <w:rPr>
          <w:sz w:val="24"/>
        </w:rPr>
      </w:pPr>
      <w:r>
        <w:rPr>
          <w:spacing w:val="-7"/>
          <w:sz w:val="24"/>
        </w:rPr>
        <w:t xml:space="preserve">本次选聘最终确认方式采用综合评议，面谈占总分 </w:t>
      </w:r>
      <w:r>
        <w:rPr>
          <w:spacing w:val="27"/>
          <w:sz w:val="24"/>
        </w:rPr>
        <w:t>30%</w:t>
      </w:r>
      <w:r>
        <w:rPr>
          <w:spacing w:val="-15"/>
          <w:sz w:val="24"/>
        </w:rPr>
        <w:t>，报价占总分</w:t>
      </w:r>
      <w:r>
        <w:rPr>
          <w:sz w:val="24"/>
        </w:rPr>
        <w:t xml:space="preserve"> 40%</w:t>
      </w:r>
      <w:r>
        <w:rPr>
          <w:spacing w:val="-1"/>
          <w:sz w:val="24"/>
        </w:rPr>
        <w:t xml:space="preserve">，业务能力资料占总分 </w:t>
      </w:r>
      <w:r>
        <w:rPr>
          <w:sz w:val="24"/>
        </w:rPr>
        <w:t>30%。面谈将按照报价与业务能力资料综合评分，从</w:t>
      </w:r>
      <w:r>
        <w:rPr>
          <w:spacing w:val="-3"/>
          <w:sz w:val="24"/>
        </w:rPr>
        <w:t xml:space="preserve">高分到低分依次确定 </w:t>
      </w:r>
      <w:r>
        <w:rPr>
          <w:sz w:val="24"/>
        </w:rPr>
        <w:t>2</w:t>
      </w:r>
      <w:r>
        <w:rPr>
          <w:spacing w:val="-5"/>
          <w:sz w:val="24"/>
        </w:rPr>
        <w:t xml:space="preserve"> 家进入面谈环节的律师事务所。</w:t>
      </w:r>
    </w:p>
    <w:p>
      <w:pPr>
        <w:pStyle w:val="8"/>
        <w:numPr>
          <w:ilvl w:val="0"/>
          <w:numId w:val="7"/>
        </w:numPr>
        <w:tabs>
          <w:tab w:val="left" w:pos="962"/>
        </w:tabs>
        <w:spacing w:before="0" w:after="0" w:line="364" w:lineRule="auto"/>
        <w:ind w:left="120" w:right="121" w:firstLine="479"/>
        <w:jc w:val="left"/>
        <w:rPr>
          <w:sz w:val="24"/>
        </w:rPr>
      </w:pPr>
      <w:r>
        <w:rPr>
          <w:spacing w:val="-2"/>
          <w:sz w:val="24"/>
        </w:rPr>
        <w:t>参与本次评选的律师事务所及从业人员不得将本次评选的有关资料对外</w:t>
      </w:r>
      <w:r>
        <w:rPr>
          <w:spacing w:val="-4"/>
          <w:sz w:val="24"/>
        </w:rPr>
        <w:t>泄露。</w:t>
      </w:r>
    </w:p>
    <w:sectPr>
      <w:pgSz w:w="11910" w:h="16840"/>
      <w:pgMar w:top="1380" w:right="168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961" w:hanging="36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1718" w:hanging="361"/>
      </w:pPr>
      <w:rPr>
        <w:rFonts w:hint="default"/>
        <w:lang w:val="en-US" w:eastAsia="zh-CN" w:bidi="ar-SA"/>
      </w:rPr>
    </w:lvl>
    <w:lvl w:ilvl="2" w:tentative="0">
      <w:start w:val="0"/>
      <w:numFmt w:val="bullet"/>
      <w:lvlText w:val="•"/>
      <w:lvlJc w:val="left"/>
      <w:pPr>
        <w:ind w:left="2477" w:hanging="361"/>
      </w:pPr>
      <w:rPr>
        <w:rFonts w:hint="default"/>
        <w:lang w:val="en-US" w:eastAsia="zh-CN" w:bidi="ar-SA"/>
      </w:rPr>
    </w:lvl>
    <w:lvl w:ilvl="3" w:tentative="0">
      <w:start w:val="0"/>
      <w:numFmt w:val="bullet"/>
      <w:lvlText w:val="•"/>
      <w:lvlJc w:val="left"/>
      <w:pPr>
        <w:ind w:left="3235" w:hanging="361"/>
      </w:pPr>
      <w:rPr>
        <w:rFonts w:hint="default"/>
        <w:lang w:val="en-US" w:eastAsia="zh-CN" w:bidi="ar-SA"/>
      </w:rPr>
    </w:lvl>
    <w:lvl w:ilvl="4" w:tentative="0">
      <w:start w:val="0"/>
      <w:numFmt w:val="bullet"/>
      <w:lvlText w:val="•"/>
      <w:lvlJc w:val="left"/>
      <w:pPr>
        <w:ind w:left="3994" w:hanging="361"/>
      </w:pPr>
      <w:rPr>
        <w:rFonts w:hint="default"/>
        <w:lang w:val="en-US" w:eastAsia="zh-CN" w:bidi="ar-SA"/>
      </w:rPr>
    </w:lvl>
    <w:lvl w:ilvl="5" w:tentative="0">
      <w:start w:val="0"/>
      <w:numFmt w:val="bullet"/>
      <w:lvlText w:val="•"/>
      <w:lvlJc w:val="left"/>
      <w:pPr>
        <w:ind w:left="4753" w:hanging="361"/>
      </w:pPr>
      <w:rPr>
        <w:rFonts w:hint="default"/>
        <w:lang w:val="en-US" w:eastAsia="zh-CN" w:bidi="ar-SA"/>
      </w:rPr>
    </w:lvl>
    <w:lvl w:ilvl="6" w:tentative="0">
      <w:start w:val="0"/>
      <w:numFmt w:val="bullet"/>
      <w:lvlText w:val="•"/>
      <w:lvlJc w:val="left"/>
      <w:pPr>
        <w:ind w:left="5511" w:hanging="361"/>
      </w:pPr>
      <w:rPr>
        <w:rFonts w:hint="default"/>
        <w:lang w:val="en-US" w:eastAsia="zh-CN" w:bidi="ar-SA"/>
      </w:rPr>
    </w:lvl>
    <w:lvl w:ilvl="7" w:tentative="0">
      <w:start w:val="0"/>
      <w:numFmt w:val="bullet"/>
      <w:lvlText w:val="•"/>
      <w:lvlJc w:val="left"/>
      <w:pPr>
        <w:ind w:left="6270" w:hanging="361"/>
      </w:pPr>
      <w:rPr>
        <w:rFonts w:hint="default"/>
        <w:lang w:val="en-US" w:eastAsia="zh-CN" w:bidi="ar-SA"/>
      </w:rPr>
    </w:lvl>
    <w:lvl w:ilvl="8" w:tentative="0">
      <w:start w:val="0"/>
      <w:numFmt w:val="bullet"/>
      <w:lvlText w:val="•"/>
      <w:lvlJc w:val="left"/>
      <w:pPr>
        <w:ind w:left="7029" w:hanging="361"/>
      </w:pPr>
      <w:rPr>
        <w:rFonts w:hint="default"/>
        <w:lang w:val="en-US" w:eastAsia="zh-CN" w:bidi="ar-SA"/>
      </w:rPr>
    </w:lvl>
  </w:abstractNum>
  <w:abstractNum w:abstractNumId="1">
    <w:nsid w:val="BF205925"/>
    <w:multiLevelType w:val="multilevel"/>
    <w:tmpl w:val="BF205925"/>
    <w:lvl w:ilvl="0" w:tentative="0">
      <w:start w:val="1"/>
      <w:numFmt w:val="decimal"/>
      <w:lvlText w:val="%1."/>
      <w:lvlJc w:val="left"/>
      <w:pPr>
        <w:ind w:left="961" w:hanging="36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1718" w:hanging="361"/>
      </w:pPr>
      <w:rPr>
        <w:rFonts w:hint="default"/>
        <w:lang w:val="en-US" w:eastAsia="zh-CN" w:bidi="ar-SA"/>
      </w:rPr>
    </w:lvl>
    <w:lvl w:ilvl="2" w:tentative="0">
      <w:start w:val="0"/>
      <w:numFmt w:val="bullet"/>
      <w:lvlText w:val="•"/>
      <w:lvlJc w:val="left"/>
      <w:pPr>
        <w:ind w:left="2477" w:hanging="361"/>
      </w:pPr>
      <w:rPr>
        <w:rFonts w:hint="default"/>
        <w:lang w:val="en-US" w:eastAsia="zh-CN" w:bidi="ar-SA"/>
      </w:rPr>
    </w:lvl>
    <w:lvl w:ilvl="3" w:tentative="0">
      <w:start w:val="0"/>
      <w:numFmt w:val="bullet"/>
      <w:lvlText w:val="•"/>
      <w:lvlJc w:val="left"/>
      <w:pPr>
        <w:ind w:left="3235" w:hanging="361"/>
      </w:pPr>
      <w:rPr>
        <w:rFonts w:hint="default"/>
        <w:lang w:val="en-US" w:eastAsia="zh-CN" w:bidi="ar-SA"/>
      </w:rPr>
    </w:lvl>
    <w:lvl w:ilvl="4" w:tentative="0">
      <w:start w:val="0"/>
      <w:numFmt w:val="bullet"/>
      <w:lvlText w:val="•"/>
      <w:lvlJc w:val="left"/>
      <w:pPr>
        <w:ind w:left="3994" w:hanging="361"/>
      </w:pPr>
      <w:rPr>
        <w:rFonts w:hint="default"/>
        <w:lang w:val="en-US" w:eastAsia="zh-CN" w:bidi="ar-SA"/>
      </w:rPr>
    </w:lvl>
    <w:lvl w:ilvl="5" w:tentative="0">
      <w:start w:val="0"/>
      <w:numFmt w:val="bullet"/>
      <w:lvlText w:val="•"/>
      <w:lvlJc w:val="left"/>
      <w:pPr>
        <w:ind w:left="4753" w:hanging="361"/>
      </w:pPr>
      <w:rPr>
        <w:rFonts w:hint="default"/>
        <w:lang w:val="en-US" w:eastAsia="zh-CN" w:bidi="ar-SA"/>
      </w:rPr>
    </w:lvl>
    <w:lvl w:ilvl="6" w:tentative="0">
      <w:start w:val="0"/>
      <w:numFmt w:val="bullet"/>
      <w:lvlText w:val="•"/>
      <w:lvlJc w:val="left"/>
      <w:pPr>
        <w:ind w:left="5511" w:hanging="361"/>
      </w:pPr>
      <w:rPr>
        <w:rFonts w:hint="default"/>
        <w:lang w:val="en-US" w:eastAsia="zh-CN" w:bidi="ar-SA"/>
      </w:rPr>
    </w:lvl>
    <w:lvl w:ilvl="7" w:tentative="0">
      <w:start w:val="0"/>
      <w:numFmt w:val="bullet"/>
      <w:lvlText w:val="•"/>
      <w:lvlJc w:val="left"/>
      <w:pPr>
        <w:ind w:left="6270" w:hanging="361"/>
      </w:pPr>
      <w:rPr>
        <w:rFonts w:hint="default"/>
        <w:lang w:val="en-US" w:eastAsia="zh-CN" w:bidi="ar-SA"/>
      </w:rPr>
    </w:lvl>
    <w:lvl w:ilvl="8" w:tentative="0">
      <w:start w:val="0"/>
      <w:numFmt w:val="bullet"/>
      <w:lvlText w:val="•"/>
      <w:lvlJc w:val="left"/>
      <w:pPr>
        <w:ind w:left="7029" w:hanging="361"/>
      </w:pPr>
      <w:rPr>
        <w:rFonts w:hint="default"/>
        <w:lang w:val="en-US" w:eastAsia="zh-CN" w:bidi="ar-SA"/>
      </w:rPr>
    </w:lvl>
  </w:abstractNum>
  <w:abstractNum w:abstractNumId="2">
    <w:nsid w:val="CF092B84"/>
    <w:multiLevelType w:val="multilevel"/>
    <w:tmpl w:val="CF092B84"/>
    <w:lvl w:ilvl="0" w:tentative="0">
      <w:start w:val="1"/>
      <w:numFmt w:val="decimal"/>
      <w:lvlText w:val="%1."/>
      <w:lvlJc w:val="left"/>
      <w:pPr>
        <w:ind w:left="961" w:hanging="36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1718" w:hanging="361"/>
      </w:pPr>
      <w:rPr>
        <w:rFonts w:hint="default"/>
        <w:lang w:val="en-US" w:eastAsia="zh-CN" w:bidi="ar-SA"/>
      </w:rPr>
    </w:lvl>
    <w:lvl w:ilvl="2" w:tentative="0">
      <w:start w:val="0"/>
      <w:numFmt w:val="bullet"/>
      <w:lvlText w:val="•"/>
      <w:lvlJc w:val="left"/>
      <w:pPr>
        <w:ind w:left="2477" w:hanging="361"/>
      </w:pPr>
      <w:rPr>
        <w:rFonts w:hint="default"/>
        <w:lang w:val="en-US" w:eastAsia="zh-CN" w:bidi="ar-SA"/>
      </w:rPr>
    </w:lvl>
    <w:lvl w:ilvl="3" w:tentative="0">
      <w:start w:val="0"/>
      <w:numFmt w:val="bullet"/>
      <w:lvlText w:val="•"/>
      <w:lvlJc w:val="left"/>
      <w:pPr>
        <w:ind w:left="3235" w:hanging="361"/>
      </w:pPr>
      <w:rPr>
        <w:rFonts w:hint="default"/>
        <w:lang w:val="en-US" w:eastAsia="zh-CN" w:bidi="ar-SA"/>
      </w:rPr>
    </w:lvl>
    <w:lvl w:ilvl="4" w:tentative="0">
      <w:start w:val="0"/>
      <w:numFmt w:val="bullet"/>
      <w:lvlText w:val="•"/>
      <w:lvlJc w:val="left"/>
      <w:pPr>
        <w:ind w:left="3994" w:hanging="361"/>
      </w:pPr>
      <w:rPr>
        <w:rFonts w:hint="default"/>
        <w:lang w:val="en-US" w:eastAsia="zh-CN" w:bidi="ar-SA"/>
      </w:rPr>
    </w:lvl>
    <w:lvl w:ilvl="5" w:tentative="0">
      <w:start w:val="0"/>
      <w:numFmt w:val="bullet"/>
      <w:lvlText w:val="•"/>
      <w:lvlJc w:val="left"/>
      <w:pPr>
        <w:ind w:left="4753" w:hanging="361"/>
      </w:pPr>
      <w:rPr>
        <w:rFonts w:hint="default"/>
        <w:lang w:val="en-US" w:eastAsia="zh-CN" w:bidi="ar-SA"/>
      </w:rPr>
    </w:lvl>
    <w:lvl w:ilvl="6" w:tentative="0">
      <w:start w:val="0"/>
      <w:numFmt w:val="bullet"/>
      <w:lvlText w:val="•"/>
      <w:lvlJc w:val="left"/>
      <w:pPr>
        <w:ind w:left="5511" w:hanging="361"/>
      </w:pPr>
      <w:rPr>
        <w:rFonts w:hint="default"/>
        <w:lang w:val="en-US" w:eastAsia="zh-CN" w:bidi="ar-SA"/>
      </w:rPr>
    </w:lvl>
    <w:lvl w:ilvl="7" w:tentative="0">
      <w:start w:val="0"/>
      <w:numFmt w:val="bullet"/>
      <w:lvlText w:val="•"/>
      <w:lvlJc w:val="left"/>
      <w:pPr>
        <w:ind w:left="6270" w:hanging="361"/>
      </w:pPr>
      <w:rPr>
        <w:rFonts w:hint="default"/>
        <w:lang w:val="en-US" w:eastAsia="zh-CN" w:bidi="ar-SA"/>
      </w:rPr>
    </w:lvl>
    <w:lvl w:ilvl="8" w:tentative="0">
      <w:start w:val="0"/>
      <w:numFmt w:val="bullet"/>
      <w:lvlText w:val="•"/>
      <w:lvlJc w:val="left"/>
      <w:pPr>
        <w:ind w:left="7029" w:hanging="361"/>
      </w:pPr>
      <w:rPr>
        <w:rFonts w:hint="default"/>
        <w:lang w:val="en-US" w:eastAsia="zh-CN" w:bidi="ar-SA"/>
      </w:rPr>
    </w:lvl>
  </w:abstractNum>
  <w:abstractNum w:abstractNumId="3">
    <w:nsid w:val="0053208E"/>
    <w:multiLevelType w:val="multilevel"/>
    <w:tmpl w:val="0053208E"/>
    <w:lvl w:ilvl="0" w:tentative="0">
      <w:start w:val="1"/>
      <w:numFmt w:val="decimal"/>
      <w:lvlText w:val="（%1）"/>
      <w:lvlJc w:val="left"/>
      <w:pPr>
        <w:ind w:left="1201" w:hanging="60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1934" w:hanging="601"/>
      </w:pPr>
      <w:rPr>
        <w:rFonts w:hint="default"/>
        <w:lang w:val="en-US" w:eastAsia="zh-CN" w:bidi="ar-SA"/>
      </w:rPr>
    </w:lvl>
    <w:lvl w:ilvl="2" w:tentative="0">
      <w:start w:val="0"/>
      <w:numFmt w:val="bullet"/>
      <w:lvlText w:val="•"/>
      <w:lvlJc w:val="left"/>
      <w:pPr>
        <w:ind w:left="2669" w:hanging="601"/>
      </w:pPr>
      <w:rPr>
        <w:rFonts w:hint="default"/>
        <w:lang w:val="en-US" w:eastAsia="zh-CN" w:bidi="ar-SA"/>
      </w:rPr>
    </w:lvl>
    <w:lvl w:ilvl="3" w:tentative="0">
      <w:start w:val="0"/>
      <w:numFmt w:val="bullet"/>
      <w:lvlText w:val="•"/>
      <w:lvlJc w:val="left"/>
      <w:pPr>
        <w:ind w:left="3403" w:hanging="601"/>
      </w:pPr>
      <w:rPr>
        <w:rFonts w:hint="default"/>
        <w:lang w:val="en-US" w:eastAsia="zh-CN" w:bidi="ar-SA"/>
      </w:rPr>
    </w:lvl>
    <w:lvl w:ilvl="4" w:tentative="0">
      <w:start w:val="0"/>
      <w:numFmt w:val="bullet"/>
      <w:lvlText w:val="•"/>
      <w:lvlJc w:val="left"/>
      <w:pPr>
        <w:ind w:left="4138" w:hanging="601"/>
      </w:pPr>
      <w:rPr>
        <w:rFonts w:hint="default"/>
        <w:lang w:val="en-US" w:eastAsia="zh-CN" w:bidi="ar-SA"/>
      </w:rPr>
    </w:lvl>
    <w:lvl w:ilvl="5" w:tentative="0">
      <w:start w:val="0"/>
      <w:numFmt w:val="bullet"/>
      <w:lvlText w:val="•"/>
      <w:lvlJc w:val="left"/>
      <w:pPr>
        <w:ind w:left="4873" w:hanging="601"/>
      </w:pPr>
      <w:rPr>
        <w:rFonts w:hint="default"/>
        <w:lang w:val="en-US" w:eastAsia="zh-CN" w:bidi="ar-SA"/>
      </w:rPr>
    </w:lvl>
    <w:lvl w:ilvl="6" w:tentative="0">
      <w:start w:val="0"/>
      <w:numFmt w:val="bullet"/>
      <w:lvlText w:val="•"/>
      <w:lvlJc w:val="left"/>
      <w:pPr>
        <w:ind w:left="5607" w:hanging="601"/>
      </w:pPr>
      <w:rPr>
        <w:rFonts w:hint="default"/>
        <w:lang w:val="en-US" w:eastAsia="zh-CN" w:bidi="ar-SA"/>
      </w:rPr>
    </w:lvl>
    <w:lvl w:ilvl="7" w:tentative="0">
      <w:start w:val="0"/>
      <w:numFmt w:val="bullet"/>
      <w:lvlText w:val="•"/>
      <w:lvlJc w:val="left"/>
      <w:pPr>
        <w:ind w:left="6342" w:hanging="601"/>
      </w:pPr>
      <w:rPr>
        <w:rFonts w:hint="default"/>
        <w:lang w:val="en-US" w:eastAsia="zh-CN" w:bidi="ar-SA"/>
      </w:rPr>
    </w:lvl>
    <w:lvl w:ilvl="8" w:tentative="0">
      <w:start w:val="0"/>
      <w:numFmt w:val="bullet"/>
      <w:lvlText w:val="•"/>
      <w:lvlJc w:val="left"/>
      <w:pPr>
        <w:ind w:left="7077" w:hanging="601"/>
      </w:pPr>
      <w:rPr>
        <w:rFonts w:hint="default"/>
        <w:lang w:val="en-US" w:eastAsia="zh-CN" w:bidi="ar-SA"/>
      </w:rPr>
    </w:lvl>
  </w:abstractNum>
  <w:abstractNum w:abstractNumId="4">
    <w:nsid w:val="03D62ECE"/>
    <w:multiLevelType w:val="multilevel"/>
    <w:tmpl w:val="03D62ECE"/>
    <w:lvl w:ilvl="0" w:tentative="0">
      <w:start w:val="1"/>
      <w:numFmt w:val="decimal"/>
      <w:lvlText w:val="%1."/>
      <w:lvlJc w:val="left"/>
      <w:pPr>
        <w:ind w:left="961" w:hanging="36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1718" w:hanging="361"/>
      </w:pPr>
      <w:rPr>
        <w:rFonts w:hint="default"/>
        <w:lang w:val="en-US" w:eastAsia="zh-CN" w:bidi="ar-SA"/>
      </w:rPr>
    </w:lvl>
    <w:lvl w:ilvl="2" w:tentative="0">
      <w:start w:val="0"/>
      <w:numFmt w:val="bullet"/>
      <w:lvlText w:val="•"/>
      <w:lvlJc w:val="left"/>
      <w:pPr>
        <w:ind w:left="2477" w:hanging="361"/>
      </w:pPr>
      <w:rPr>
        <w:rFonts w:hint="default"/>
        <w:lang w:val="en-US" w:eastAsia="zh-CN" w:bidi="ar-SA"/>
      </w:rPr>
    </w:lvl>
    <w:lvl w:ilvl="3" w:tentative="0">
      <w:start w:val="0"/>
      <w:numFmt w:val="bullet"/>
      <w:lvlText w:val="•"/>
      <w:lvlJc w:val="left"/>
      <w:pPr>
        <w:ind w:left="3235" w:hanging="361"/>
      </w:pPr>
      <w:rPr>
        <w:rFonts w:hint="default"/>
        <w:lang w:val="en-US" w:eastAsia="zh-CN" w:bidi="ar-SA"/>
      </w:rPr>
    </w:lvl>
    <w:lvl w:ilvl="4" w:tentative="0">
      <w:start w:val="0"/>
      <w:numFmt w:val="bullet"/>
      <w:lvlText w:val="•"/>
      <w:lvlJc w:val="left"/>
      <w:pPr>
        <w:ind w:left="3994" w:hanging="361"/>
      </w:pPr>
      <w:rPr>
        <w:rFonts w:hint="default"/>
        <w:lang w:val="en-US" w:eastAsia="zh-CN" w:bidi="ar-SA"/>
      </w:rPr>
    </w:lvl>
    <w:lvl w:ilvl="5" w:tentative="0">
      <w:start w:val="0"/>
      <w:numFmt w:val="bullet"/>
      <w:lvlText w:val="•"/>
      <w:lvlJc w:val="left"/>
      <w:pPr>
        <w:ind w:left="4753" w:hanging="361"/>
      </w:pPr>
      <w:rPr>
        <w:rFonts w:hint="default"/>
        <w:lang w:val="en-US" w:eastAsia="zh-CN" w:bidi="ar-SA"/>
      </w:rPr>
    </w:lvl>
    <w:lvl w:ilvl="6" w:tentative="0">
      <w:start w:val="0"/>
      <w:numFmt w:val="bullet"/>
      <w:lvlText w:val="•"/>
      <w:lvlJc w:val="left"/>
      <w:pPr>
        <w:ind w:left="5511" w:hanging="361"/>
      </w:pPr>
      <w:rPr>
        <w:rFonts w:hint="default"/>
        <w:lang w:val="en-US" w:eastAsia="zh-CN" w:bidi="ar-SA"/>
      </w:rPr>
    </w:lvl>
    <w:lvl w:ilvl="7" w:tentative="0">
      <w:start w:val="0"/>
      <w:numFmt w:val="bullet"/>
      <w:lvlText w:val="•"/>
      <w:lvlJc w:val="left"/>
      <w:pPr>
        <w:ind w:left="6270" w:hanging="361"/>
      </w:pPr>
      <w:rPr>
        <w:rFonts w:hint="default"/>
        <w:lang w:val="en-US" w:eastAsia="zh-CN" w:bidi="ar-SA"/>
      </w:rPr>
    </w:lvl>
    <w:lvl w:ilvl="8" w:tentative="0">
      <w:start w:val="0"/>
      <w:numFmt w:val="bullet"/>
      <w:lvlText w:val="•"/>
      <w:lvlJc w:val="left"/>
      <w:pPr>
        <w:ind w:left="7029" w:hanging="361"/>
      </w:pPr>
      <w:rPr>
        <w:rFonts w:hint="default"/>
        <w:lang w:val="en-US" w:eastAsia="zh-CN" w:bidi="ar-SA"/>
      </w:rPr>
    </w:lvl>
  </w:abstractNum>
  <w:abstractNum w:abstractNumId="5">
    <w:nsid w:val="25B654F3"/>
    <w:multiLevelType w:val="multilevel"/>
    <w:tmpl w:val="25B654F3"/>
    <w:lvl w:ilvl="0" w:tentative="0">
      <w:start w:val="1"/>
      <w:numFmt w:val="decimal"/>
      <w:lvlText w:val="%1."/>
      <w:lvlJc w:val="left"/>
      <w:pPr>
        <w:ind w:left="961" w:hanging="36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1718" w:hanging="361"/>
      </w:pPr>
      <w:rPr>
        <w:rFonts w:hint="default"/>
        <w:lang w:val="en-US" w:eastAsia="zh-CN" w:bidi="ar-SA"/>
      </w:rPr>
    </w:lvl>
    <w:lvl w:ilvl="2" w:tentative="0">
      <w:start w:val="0"/>
      <w:numFmt w:val="bullet"/>
      <w:lvlText w:val="•"/>
      <w:lvlJc w:val="left"/>
      <w:pPr>
        <w:ind w:left="2477" w:hanging="361"/>
      </w:pPr>
      <w:rPr>
        <w:rFonts w:hint="default"/>
        <w:lang w:val="en-US" w:eastAsia="zh-CN" w:bidi="ar-SA"/>
      </w:rPr>
    </w:lvl>
    <w:lvl w:ilvl="3" w:tentative="0">
      <w:start w:val="0"/>
      <w:numFmt w:val="bullet"/>
      <w:lvlText w:val="•"/>
      <w:lvlJc w:val="left"/>
      <w:pPr>
        <w:ind w:left="3235" w:hanging="361"/>
      </w:pPr>
      <w:rPr>
        <w:rFonts w:hint="default"/>
        <w:lang w:val="en-US" w:eastAsia="zh-CN" w:bidi="ar-SA"/>
      </w:rPr>
    </w:lvl>
    <w:lvl w:ilvl="4" w:tentative="0">
      <w:start w:val="0"/>
      <w:numFmt w:val="bullet"/>
      <w:lvlText w:val="•"/>
      <w:lvlJc w:val="left"/>
      <w:pPr>
        <w:ind w:left="3994" w:hanging="361"/>
      </w:pPr>
      <w:rPr>
        <w:rFonts w:hint="default"/>
        <w:lang w:val="en-US" w:eastAsia="zh-CN" w:bidi="ar-SA"/>
      </w:rPr>
    </w:lvl>
    <w:lvl w:ilvl="5" w:tentative="0">
      <w:start w:val="0"/>
      <w:numFmt w:val="bullet"/>
      <w:lvlText w:val="•"/>
      <w:lvlJc w:val="left"/>
      <w:pPr>
        <w:ind w:left="4753" w:hanging="361"/>
      </w:pPr>
      <w:rPr>
        <w:rFonts w:hint="default"/>
        <w:lang w:val="en-US" w:eastAsia="zh-CN" w:bidi="ar-SA"/>
      </w:rPr>
    </w:lvl>
    <w:lvl w:ilvl="6" w:tentative="0">
      <w:start w:val="0"/>
      <w:numFmt w:val="bullet"/>
      <w:lvlText w:val="•"/>
      <w:lvlJc w:val="left"/>
      <w:pPr>
        <w:ind w:left="5511" w:hanging="361"/>
      </w:pPr>
      <w:rPr>
        <w:rFonts w:hint="default"/>
        <w:lang w:val="en-US" w:eastAsia="zh-CN" w:bidi="ar-SA"/>
      </w:rPr>
    </w:lvl>
    <w:lvl w:ilvl="7" w:tentative="0">
      <w:start w:val="0"/>
      <w:numFmt w:val="bullet"/>
      <w:lvlText w:val="•"/>
      <w:lvlJc w:val="left"/>
      <w:pPr>
        <w:ind w:left="6270" w:hanging="361"/>
      </w:pPr>
      <w:rPr>
        <w:rFonts w:hint="default"/>
        <w:lang w:val="en-US" w:eastAsia="zh-CN" w:bidi="ar-SA"/>
      </w:rPr>
    </w:lvl>
    <w:lvl w:ilvl="8" w:tentative="0">
      <w:start w:val="0"/>
      <w:numFmt w:val="bullet"/>
      <w:lvlText w:val="•"/>
      <w:lvlJc w:val="left"/>
      <w:pPr>
        <w:ind w:left="7029" w:hanging="361"/>
      </w:pPr>
      <w:rPr>
        <w:rFonts w:hint="default"/>
        <w:lang w:val="en-US" w:eastAsia="zh-CN" w:bidi="ar-SA"/>
      </w:rPr>
    </w:lvl>
  </w:abstractNum>
  <w:abstractNum w:abstractNumId="6">
    <w:nsid w:val="59ADCABA"/>
    <w:multiLevelType w:val="multilevel"/>
    <w:tmpl w:val="59ADCABA"/>
    <w:lvl w:ilvl="0" w:tentative="0">
      <w:start w:val="1"/>
      <w:numFmt w:val="decimal"/>
      <w:lvlText w:val="（%1）"/>
      <w:lvlJc w:val="left"/>
      <w:pPr>
        <w:ind w:left="120" w:hanging="601"/>
        <w:jc w:val="left"/>
      </w:pPr>
      <w:rPr>
        <w:rFonts w:hint="default" w:ascii="仿宋" w:hAnsi="仿宋" w:eastAsia="仿宋" w:cs="仿宋"/>
        <w:b w:val="0"/>
        <w:bCs w:val="0"/>
        <w:i w:val="0"/>
        <w:iCs w:val="0"/>
        <w:w w:val="100"/>
        <w:sz w:val="22"/>
        <w:szCs w:val="22"/>
        <w:lang w:val="en-US" w:eastAsia="zh-CN" w:bidi="ar-SA"/>
      </w:rPr>
    </w:lvl>
    <w:lvl w:ilvl="1" w:tentative="0">
      <w:start w:val="0"/>
      <w:numFmt w:val="bullet"/>
      <w:lvlText w:val="•"/>
      <w:lvlJc w:val="left"/>
      <w:pPr>
        <w:ind w:left="962" w:hanging="601"/>
      </w:pPr>
      <w:rPr>
        <w:rFonts w:hint="default"/>
        <w:lang w:val="en-US" w:eastAsia="zh-CN" w:bidi="ar-SA"/>
      </w:rPr>
    </w:lvl>
    <w:lvl w:ilvl="2" w:tentative="0">
      <w:start w:val="0"/>
      <w:numFmt w:val="bullet"/>
      <w:lvlText w:val="•"/>
      <w:lvlJc w:val="left"/>
      <w:pPr>
        <w:ind w:left="1805" w:hanging="601"/>
      </w:pPr>
      <w:rPr>
        <w:rFonts w:hint="default"/>
        <w:lang w:val="en-US" w:eastAsia="zh-CN" w:bidi="ar-SA"/>
      </w:rPr>
    </w:lvl>
    <w:lvl w:ilvl="3" w:tentative="0">
      <w:start w:val="0"/>
      <w:numFmt w:val="bullet"/>
      <w:lvlText w:val="•"/>
      <w:lvlJc w:val="left"/>
      <w:pPr>
        <w:ind w:left="2647" w:hanging="601"/>
      </w:pPr>
      <w:rPr>
        <w:rFonts w:hint="default"/>
        <w:lang w:val="en-US" w:eastAsia="zh-CN" w:bidi="ar-SA"/>
      </w:rPr>
    </w:lvl>
    <w:lvl w:ilvl="4" w:tentative="0">
      <w:start w:val="0"/>
      <w:numFmt w:val="bullet"/>
      <w:lvlText w:val="•"/>
      <w:lvlJc w:val="left"/>
      <w:pPr>
        <w:ind w:left="3490" w:hanging="601"/>
      </w:pPr>
      <w:rPr>
        <w:rFonts w:hint="default"/>
        <w:lang w:val="en-US" w:eastAsia="zh-CN" w:bidi="ar-SA"/>
      </w:rPr>
    </w:lvl>
    <w:lvl w:ilvl="5" w:tentative="0">
      <w:start w:val="0"/>
      <w:numFmt w:val="bullet"/>
      <w:lvlText w:val="•"/>
      <w:lvlJc w:val="left"/>
      <w:pPr>
        <w:ind w:left="4333" w:hanging="601"/>
      </w:pPr>
      <w:rPr>
        <w:rFonts w:hint="default"/>
        <w:lang w:val="en-US" w:eastAsia="zh-CN" w:bidi="ar-SA"/>
      </w:rPr>
    </w:lvl>
    <w:lvl w:ilvl="6" w:tentative="0">
      <w:start w:val="0"/>
      <w:numFmt w:val="bullet"/>
      <w:lvlText w:val="•"/>
      <w:lvlJc w:val="left"/>
      <w:pPr>
        <w:ind w:left="5175" w:hanging="601"/>
      </w:pPr>
      <w:rPr>
        <w:rFonts w:hint="default"/>
        <w:lang w:val="en-US" w:eastAsia="zh-CN" w:bidi="ar-SA"/>
      </w:rPr>
    </w:lvl>
    <w:lvl w:ilvl="7" w:tentative="0">
      <w:start w:val="0"/>
      <w:numFmt w:val="bullet"/>
      <w:lvlText w:val="•"/>
      <w:lvlJc w:val="left"/>
      <w:pPr>
        <w:ind w:left="6018" w:hanging="601"/>
      </w:pPr>
      <w:rPr>
        <w:rFonts w:hint="default"/>
        <w:lang w:val="en-US" w:eastAsia="zh-CN" w:bidi="ar-SA"/>
      </w:rPr>
    </w:lvl>
    <w:lvl w:ilvl="8" w:tentative="0">
      <w:start w:val="0"/>
      <w:numFmt w:val="bullet"/>
      <w:lvlText w:val="•"/>
      <w:lvlJc w:val="left"/>
      <w:pPr>
        <w:ind w:left="6861" w:hanging="601"/>
      </w:pPr>
      <w:rPr>
        <w:rFonts w:hint="default"/>
        <w:lang w:val="en-US" w:eastAsia="zh-CN" w:bidi="ar-SA"/>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Yjk5ODM0YmMxOWJiYWQyNDU4MGIzYWRmYTA0ZmI5NDcifQ=="/>
  </w:docVars>
  <w:rsids>
    <w:rsidRoot w:val="00000000"/>
    <w:rsid w:val="13AC2E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zh-CN" w:bidi="ar-SA"/>
    </w:rPr>
  </w:style>
  <w:style w:type="paragraph" w:styleId="2">
    <w:name w:val="heading 1"/>
    <w:basedOn w:val="1"/>
    <w:autoRedefine/>
    <w:qFormat/>
    <w:uiPriority w:val="1"/>
    <w:pPr>
      <w:ind w:left="602"/>
      <w:outlineLvl w:val="1"/>
    </w:pPr>
    <w:rPr>
      <w:rFonts w:ascii="仿宋" w:hAnsi="仿宋" w:eastAsia="仿宋" w:cs="仿宋"/>
      <w:b/>
      <w:bCs/>
      <w:sz w:val="24"/>
      <w:szCs w:val="24"/>
      <w:u w:val="single" w:color="000000"/>
      <w:lang w:val="en-US" w:eastAsia="zh-CN" w:bidi="ar-SA"/>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spacing w:before="158"/>
      <w:ind w:left="120" w:hanging="362"/>
    </w:pPr>
    <w:rPr>
      <w:rFonts w:ascii="仿宋" w:hAnsi="仿宋" w:eastAsia="仿宋" w:cs="仿宋"/>
      <w:sz w:val="24"/>
      <w:szCs w:val="24"/>
      <w:lang w:val="en-US" w:eastAsia="zh-CN" w:bidi="ar-SA"/>
    </w:rPr>
  </w:style>
  <w:style w:type="paragraph" w:styleId="4">
    <w:name w:val="Title"/>
    <w:basedOn w:val="1"/>
    <w:qFormat/>
    <w:uiPriority w:val="1"/>
    <w:pPr>
      <w:spacing w:before="43"/>
      <w:ind w:left="1822" w:right="1705" w:hanging="120"/>
    </w:pPr>
    <w:rPr>
      <w:rFonts w:ascii="宋体" w:hAnsi="宋体" w:eastAsia="宋体" w:cs="宋体"/>
      <w:b/>
      <w:bCs/>
      <w:sz w:val="32"/>
      <w:szCs w:val="32"/>
      <w:lang w:val="en-US" w:eastAsia="zh-CN"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58"/>
      <w:ind w:left="961" w:hanging="362"/>
    </w:pPr>
    <w:rPr>
      <w:rFonts w:ascii="仿宋" w:hAnsi="仿宋" w:eastAsia="仿宋" w:cs="仿宋"/>
      <w:lang w:val="en-US" w:eastAsia="zh-CN" w:bidi="ar-SA"/>
    </w:rPr>
  </w:style>
  <w:style w:type="paragraph" w:customStyle="1" w:styleId="9">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2023-07-31T06:31:00Z</dcterms:created>
  <dc:creator>CKP</dc:creator>
  <cp:lastModifiedBy>郑志尧</cp:lastModifiedBy>
  <dcterms:modified xsi:type="dcterms:W3CDTF">2025-09-28T02:07:54Z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2021-04-02T00:00:00Z</vt:filetime>
  </property>
  <property fmtid="{D5CDD505-2E9C-101B-9397-08002B2CF9AE}" pid="3" name="Creator">
    <vt:lpwstr>Microsoft® Word 2010</vt:lpwstr>
  </property>
  <property fmtid="{D5CDD505-2E9C-101B-9397-08002B2CF9AE}" pid="4" name="LastSaved">
    <vt:filetime>2023-07-31T00:00:00Z</vt:filetime>
  </property>
  <property fmtid="{D5CDD505-2E9C-101B-9397-08002B2CF9AE}" pid="5" name="Producer">
    <vt:lpwstr>Microsoft® Word 2010</vt:lpwstr>
  </property>
  <property fmtid="{D5CDD505-2E9C-101B-9397-08002B2CF9AE}" pid="6" name="KSOProductBuildVer">
    <vt:lpwstr>2052-12.1.0.16388</vt:lpwstr>
  </property>
  <property fmtid="{D5CDD505-2E9C-101B-9397-08002B2CF9AE}" pid="7" name="ICV">
    <vt:lpwstr>2C838DCC83CB47DE83CF61DD3516218D_12</vt:lpwstr>
  </property>
</Properties>
</file>