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微软雅黑" w:hAnsi="微软雅黑" w:eastAsia="微软雅黑" w:cs="微软雅黑"/>
          <w:b/>
          <w:i w:val="0"/>
          <w:caps w:val="0"/>
          <w:color w:val="333333"/>
          <w:spacing w:val="0"/>
          <w:sz w:val="42"/>
          <w:szCs w:val="42"/>
          <w:shd w:val="clear" w:fill="FFFFFF"/>
          <w:lang w:eastAsia="zh-CN"/>
        </w:rPr>
      </w:pPr>
      <w:r>
        <w:rPr>
          <w:rFonts w:hint="eastAsia" w:ascii="微软雅黑" w:hAnsi="微软雅黑" w:eastAsia="微软雅黑" w:cs="微软雅黑"/>
          <w:b/>
          <w:i w:val="0"/>
          <w:caps w:val="0"/>
          <w:color w:val="333333"/>
          <w:spacing w:val="0"/>
          <w:sz w:val="42"/>
          <w:szCs w:val="42"/>
          <w:shd w:val="clear" w:fill="FFFFFF"/>
          <w:lang w:eastAsia="zh-CN"/>
        </w:rPr>
        <w:t>新工集团组织“</w:t>
      </w:r>
      <w:r>
        <w:rPr>
          <w:rFonts w:hint="eastAsia" w:ascii="微软雅黑" w:hAnsi="微软雅黑" w:eastAsia="微软雅黑" w:cs="微软雅黑"/>
          <w:b/>
          <w:i w:val="0"/>
          <w:caps w:val="0"/>
          <w:color w:val="333333"/>
          <w:spacing w:val="0"/>
          <w:sz w:val="42"/>
          <w:szCs w:val="42"/>
          <w:shd w:val="clear" w:fill="FFFFFF"/>
          <w:lang w:eastAsia="zh-CN"/>
        </w:rPr>
        <w:t>新公司法背景下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宋体" w:hAnsi="宋体" w:eastAsia="宋体" w:cs="宋体"/>
          <w:i w:val="0"/>
          <w:caps w:val="0"/>
          <w:color w:val="333333"/>
          <w:spacing w:val="0"/>
          <w:sz w:val="24"/>
          <w:szCs w:val="24"/>
          <w:shd w:val="clear" w:fill="FFFFFF"/>
        </w:rPr>
      </w:pPr>
      <w:r>
        <w:rPr>
          <w:rFonts w:hint="eastAsia" w:ascii="微软雅黑" w:hAnsi="微软雅黑" w:eastAsia="微软雅黑" w:cs="微软雅黑"/>
          <w:b/>
          <w:i w:val="0"/>
          <w:caps w:val="0"/>
          <w:color w:val="333333"/>
          <w:spacing w:val="0"/>
          <w:sz w:val="42"/>
          <w:szCs w:val="42"/>
          <w:shd w:val="clear" w:fill="FFFFFF"/>
          <w:lang w:eastAsia="zh-CN"/>
        </w:rPr>
        <w:t>公司章程的修订要点</w:t>
      </w:r>
      <w:r>
        <w:rPr>
          <w:rFonts w:hint="eastAsia" w:ascii="微软雅黑" w:hAnsi="微软雅黑" w:eastAsia="微软雅黑" w:cs="微软雅黑"/>
          <w:b/>
          <w:i w:val="0"/>
          <w:caps w:val="0"/>
          <w:color w:val="333333"/>
          <w:spacing w:val="0"/>
          <w:sz w:val="42"/>
          <w:szCs w:val="42"/>
          <w:shd w:val="clear" w:fill="FFFFFF"/>
          <w:lang w:eastAsia="zh-CN"/>
        </w:rPr>
        <w:t>”</w:t>
      </w:r>
      <w:r>
        <w:rPr>
          <w:rFonts w:ascii="微软雅黑" w:hAnsi="微软雅黑" w:eastAsia="微软雅黑" w:cs="微软雅黑"/>
          <w:b/>
          <w:i w:val="0"/>
          <w:caps w:val="0"/>
          <w:color w:val="333333"/>
          <w:spacing w:val="0"/>
          <w:sz w:val="42"/>
          <w:szCs w:val="42"/>
          <w:shd w:val="clear" w:fill="FFFFFF"/>
        </w:rPr>
        <w:t>专题培训</w:t>
      </w:r>
    </w:p>
    <w:p>
      <w:pPr>
        <w:pStyle w:val="2"/>
        <w:keepNext w:val="0"/>
        <w:keepLines w:val="0"/>
        <w:widowControl/>
        <w:suppressLineNumbers w:val="0"/>
        <w:shd w:val="clear" w:fill="FFFFFF"/>
        <w:spacing w:line="15" w:lineRule="atLeast"/>
        <w:ind w:left="0" w:firstLine="0"/>
        <w:jc w:val="both"/>
        <w:rPr>
          <w:rFonts w:hint="eastAsia" w:ascii="宋体" w:hAnsi="宋体" w:eastAsia="宋体" w:cs="宋体"/>
          <w:i w:val="0"/>
          <w:caps w:val="0"/>
          <w:color w:val="333333"/>
          <w:spacing w:val="0"/>
          <w:sz w:val="24"/>
          <w:szCs w:val="24"/>
          <w:shd w:val="clear" w:fill="FFFFFF"/>
        </w:rPr>
      </w:pPr>
    </w:p>
    <w:p>
      <w:pPr>
        <w:pStyle w:val="2"/>
        <w:keepNext w:val="0"/>
        <w:keepLines w:val="0"/>
        <w:widowControl/>
        <w:suppressLineNumbers w:val="0"/>
        <w:shd w:val="clear" w:fill="FFFFFF"/>
        <w:spacing w:line="15" w:lineRule="atLeast"/>
        <w:ind w:left="0" w:firstLine="640" w:firstLineChars="200"/>
        <w:jc w:val="both"/>
        <w:rPr>
          <w:rFonts w:hint="eastAsia" w:ascii="宋体" w:hAnsi="宋体" w:eastAsia="宋体" w:cs="宋体"/>
          <w:i w:val="0"/>
          <w:caps w:val="0"/>
          <w:color w:val="333333"/>
          <w:spacing w:val="0"/>
          <w:sz w:val="24"/>
          <w:szCs w:val="24"/>
        </w:rPr>
      </w:pPr>
      <w:r>
        <w:rPr>
          <w:rFonts w:eastAsia="仿宋_GB2312"/>
          <w:sz w:val="32"/>
          <w:szCs w:val="32"/>
          <w:lang w:bidi="ar"/>
        </w:rPr>
        <w:t>为</w:t>
      </w:r>
      <w:r>
        <w:rPr>
          <w:rFonts w:hint="eastAsia" w:eastAsia="仿宋_GB2312"/>
          <w:sz w:val="32"/>
          <w:szCs w:val="32"/>
          <w:lang w:eastAsia="zh-CN" w:bidi="ar"/>
        </w:rPr>
        <w:t>进一步</w:t>
      </w:r>
      <w:r>
        <w:rPr>
          <w:rFonts w:eastAsia="仿宋_GB2312"/>
          <w:sz w:val="32"/>
          <w:szCs w:val="32"/>
          <w:lang w:bidi="ar"/>
        </w:rPr>
        <w:t>提升</w:t>
      </w:r>
      <w:r>
        <w:rPr>
          <w:rFonts w:hint="eastAsia" w:eastAsia="仿宋_GB2312"/>
          <w:sz w:val="32"/>
          <w:szCs w:val="32"/>
          <w:lang w:eastAsia="zh-CN" w:bidi="ar"/>
        </w:rPr>
        <w:t>所属企业</w:t>
      </w:r>
      <w:r>
        <w:rPr>
          <w:rFonts w:hint="eastAsia" w:eastAsia="仿宋_GB2312"/>
          <w:sz w:val="32"/>
          <w:szCs w:val="32"/>
          <w:lang w:bidi="ar"/>
        </w:rPr>
        <w:t>依法治企和合规经营管理能力，</w:t>
      </w:r>
      <w:r>
        <w:rPr>
          <w:rFonts w:eastAsia="仿宋_GB2312"/>
          <w:sz w:val="32"/>
          <w:szCs w:val="32"/>
          <w:lang w:bidi="ar"/>
        </w:rPr>
        <w:t>推动</w:t>
      </w:r>
      <w:r>
        <w:rPr>
          <w:rFonts w:hint="eastAsia" w:eastAsia="仿宋_GB2312"/>
          <w:sz w:val="32"/>
          <w:szCs w:val="32"/>
          <w:lang w:bidi="ar"/>
        </w:rPr>
        <w:t>新公司法</w:t>
      </w:r>
      <w:r>
        <w:rPr>
          <w:rFonts w:eastAsia="仿宋_GB2312"/>
          <w:sz w:val="32"/>
          <w:szCs w:val="32"/>
          <w:lang w:bidi="ar"/>
        </w:rPr>
        <w:t>在企业生产经营中有效执行，</w:t>
      </w:r>
      <w:r>
        <w:rPr>
          <w:rFonts w:hint="eastAsia" w:eastAsia="仿宋_GB2312"/>
          <w:sz w:val="32"/>
          <w:szCs w:val="32"/>
          <w:lang w:eastAsia="zh-CN" w:bidi="ar"/>
        </w:rPr>
        <w:t>合法合规做好公司章程修订工作，</w:t>
      </w:r>
      <w:r>
        <w:rPr>
          <w:rFonts w:hint="eastAsia" w:eastAsia="仿宋_GB2312"/>
          <w:sz w:val="32"/>
          <w:szCs w:val="32"/>
          <w:lang w:val="en-US" w:eastAsia="zh-CN" w:bidi="ar"/>
        </w:rPr>
        <w:t>12</w:t>
      </w:r>
      <w:r>
        <w:rPr>
          <w:rFonts w:hint="eastAsia" w:eastAsia="仿宋_GB2312"/>
          <w:sz w:val="32"/>
          <w:szCs w:val="32"/>
          <w:lang w:eastAsia="zh-CN" w:bidi="ar"/>
        </w:rPr>
        <w:t>月</w:t>
      </w:r>
      <w:r>
        <w:rPr>
          <w:rFonts w:hint="eastAsia" w:eastAsia="仿宋_GB2312"/>
          <w:sz w:val="32"/>
          <w:szCs w:val="32"/>
          <w:lang w:val="en-US" w:eastAsia="zh-CN" w:bidi="ar"/>
        </w:rPr>
        <w:t>17</w:t>
      </w:r>
      <w:r>
        <w:rPr>
          <w:rFonts w:hint="eastAsia" w:eastAsia="仿宋_GB2312"/>
          <w:sz w:val="32"/>
          <w:szCs w:val="32"/>
          <w:lang w:eastAsia="zh-CN" w:bidi="ar"/>
        </w:rPr>
        <w:t>日下午，新工集团组织所属企业法务分管领导及法务人员集中学习新公司法涉及公司章程的专题内容</w:t>
      </w:r>
      <w:r>
        <w:rPr>
          <w:rFonts w:hint="eastAsia" w:ascii="宋体" w:hAnsi="宋体" w:eastAsia="宋体" w:cs="宋体"/>
          <w:i w:val="0"/>
          <w:caps w:val="0"/>
          <w:color w:val="333333"/>
          <w:spacing w:val="0"/>
          <w:sz w:val="24"/>
          <w:szCs w:val="24"/>
          <w:shd w:val="clear" w:fill="FFFFFF"/>
        </w:rPr>
        <w:t>。</w:t>
      </w:r>
    </w:p>
    <w:p>
      <w:pPr>
        <w:pStyle w:val="2"/>
        <w:keepNext w:val="0"/>
        <w:keepLines w:val="0"/>
        <w:widowControl/>
        <w:suppressLineNumbers w:val="0"/>
        <w:shd w:val="clear" w:fill="FFFFFF"/>
        <w:spacing w:line="15" w:lineRule="atLeast"/>
        <w:ind w:left="0" w:firstLine="640" w:firstLineChars="200"/>
        <w:jc w:val="both"/>
        <w:rPr>
          <w:rFonts w:hint="eastAsia" w:eastAsia="仿宋_GB2312"/>
          <w:sz w:val="32"/>
          <w:szCs w:val="32"/>
          <w:lang w:bidi="ar"/>
        </w:rPr>
      </w:pPr>
      <w:r>
        <w:rPr>
          <w:rFonts w:hint="eastAsia" w:eastAsia="仿宋_GB2312"/>
          <w:sz w:val="32"/>
          <w:szCs w:val="32"/>
          <w:lang w:eastAsia="zh-CN" w:bidi="ar"/>
        </w:rPr>
        <w:t>培训</w:t>
      </w:r>
      <w:r>
        <w:rPr>
          <w:rFonts w:hint="eastAsia" w:eastAsia="仿宋_GB2312"/>
          <w:sz w:val="32"/>
          <w:szCs w:val="32"/>
          <w:lang w:bidi="ar"/>
        </w:rPr>
        <w:t>邀请</w:t>
      </w:r>
      <w:r>
        <w:rPr>
          <w:rFonts w:hint="eastAsia" w:eastAsia="仿宋_GB2312"/>
          <w:sz w:val="32"/>
          <w:szCs w:val="32"/>
          <w:lang w:eastAsia="zh-CN" w:bidi="ar"/>
        </w:rPr>
        <w:t>集团法律顾问、</w:t>
      </w:r>
      <w:r>
        <w:rPr>
          <w:rFonts w:hint="eastAsia" w:eastAsia="仿宋_GB2312"/>
          <w:sz w:val="32"/>
          <w:szCs w:val="32"/>
          <w:lang w:bidi="ar"/>
        </w:rPr>
        <w:t>锦天城律师事务所高级合伙人奚庆</w:t>
      </w:r>
      <w:r>
        <w:rPr>
          <w:rFonts w:hint="eastAsia" w:eastAsia="仿宋_GB2312"/>
          <w:sz w:val="32"/>
          <w:szCs w:val="32"/>
          <w:lang w:eastAsia="zh-CN" w:bidi="ar"/>
        </w:rPr>
        <w:t>主任</w:t>
      </w:r>
      <w:r>
        <w:rPr>
          <w:rFonts w:hint="eastAsia" w:eastAsia="仿宋_GB2312"/>
          <w:sz w:val="32"/>
          <w:szCs w:val="32"/>
          <w:lang w:bidi="ar"/>
        </w:rPr>
        <w:t>讲授</w:t>
      </w:r>
      <w:r>
        <w:rPr>
          <w:rFonts w:hint="eastAsia" w:eastAsia="仿宋_GB2312"/>
          <w:sz w:val="32"/>
          <w:szCs w:val="32"/>
          <w:lang w:eastAsia="zh-CN" w:bidi="ar"/>
        </w:rPr>
        <w:t>“新公司法背景下公司章程的修订要点”</w:t>
      </w:r>
      <w:r>
        <w:rPr>
          <w:rFonts w:hint="eastAsia" w:eastAsia="仿宋_GB2312"/>
          <w:sz w:val="32"/>
          <w:szCs w:val="32"/>
          <w:lang w:bidi="ar"/>
        </w:rPr>
        <w:t>课程，</w:t>
      </w:r>
      <w:r>
        <w:rPr>
          <w:rFonts w:hint="eastAsia" w:eastAsia="仿宋_GB2312"/>
          <w:sz w:val="32"/>
          <w:szCs w:val="32"/>
          <w:lang w:eastAsia="zh-CN" w:bidi="ar"/>
        </w:rPr>
        <w:t>奚主任详细讲述了公司章程的概念、特征、法律地位等基本概念，并围绕新公司法内容深入分析了公司章程修订的具体指引</w:t>
      </w:r>
      <w:r>
        <w:rPr>
          <w:rFonts w:hint="eastAsia" w:eastAsia="仿宋_GB2312"/>
          <w:sz w:val="32"/>
          <w:szCs w:val="32"/>
          <w:lang w:bidi="ar"/>
        </w:rPr>
        <w:t>，</w:t>
      </w:r>
      <w:r>
        <w:rPr>
          <w:rFonts w:hint="eastAsia" w:eastAsia="仿宋_GB2312"/>
          <w:sz w:val="32"/>
          <w:szCs w:val="32"/>
          <w:lang w:eastAsia="zh-CN" w:bidi="ar"/>
        </w:rPr>
        <w:t>培训</w:t>
      </w:r>
      <w:r>
        <w:rPr>
          <w:rFonts w:hint="eastAsia" w:eastAsia="仿宋_GB2312"/>
          <w:sz w:val="32"/>
          <w:szCs w:val="32"/>
          <w:lang w:bidi="ar"/>
        </w:rPr>
        <w:t>内容详实，具有很强的指导性和实践意义。</w:t>
      </w:r>
    </w:p>
    <w:p>
      <w:pPr>
        <w:pStyle w:val="2"/>
        <w:keepNext w:val="0"/>
        <w:keepLines w:val="0"/>
        <w:widowControl/>
        <w:suppressLineNumbers w:val="0"/>
        <w:shd w:val="clear" w:fill="FFFFFF"/>
        <w:spacing w:line="15" w:lineRule="atLeast"/>
        <w:ind w:left="0" w:firstLine="640" w:firstLineChars="200"/>
        <w:jc w:val="both"/>
        <w:rPr>
          <w:rFonts w:hint="eastAsia" w:eastAsia="仿宋_GB2312"/>
          <w:sz w:val="32"/>
          <w:szCs w:val="32"/>
          <w:lang w:bidi="ar"/>
        </w:rPr>
      </w:pPr>
      <w:r>
        <w:rPr>
          <w:rFonts w:hint="eastAsia" w:eastAsia="仿宋_GB2312"/>
          <w:sz w:val="32"/>
          <w:szCs w:val="32"/>
          <w:lang w:bidi="ar"/>
        </w:rPr>
        <w:t>下一步，</w:t>
      </w:r>
      <w:r>
        <w:rPr>
          <w:rFonts w:hint="eastAsia" w:eastAsia="仿宋_GB2312"/>
          <w:sz w:val="32"/>
          <w:szCs w:val="32"/>
          <w:lang w:eastAsia="zh-CN" w:bidi="ar"/>
        </w:rPr>
        <w:t>新工集团</w:t>
      </w:r>
      <w:r>
        <w:rPr>
          <w:rFonts w:hint="eastAsia" w:eastAsia="仿宋_GB2312"/>
          <w:sz w:val="32"/>
          <w:szCs w:val="32"/>
          <w:lang w:bidi="ar"/>
        </w:rPr>
        <w:t>将继续做好新公司法的宣贯工作，指导</w:t>
      </w:r>
      <w:r>
        <w:rPr>
          <w:rFonts w:hint="eastAsia" w:eastAsia="仿宋_GB2312"/>
          <w:sz w:val="32"/>
          <w:szCs w:val="32"/>
          <w:lang w:eastAsia="zh-CN" w:bidi="ar"/>
        </w:rPr>
        <w:t>所属</w:t>
      </w:r>
      <w:r>
        <w:rPr>
          <w:rFonts w:hint="eastAsia" w:eastAsia="仿宋_GB2312"/>
          <w:sz w:val="32"/>
          <w:szCs w:val="32"/>
          <w:lang w:bidi="ar"/>
        </w:rPr>
        <w:t>企业</w:t>
      </w:r>
      <w:r>
        <w:rPr>
          <w:rFonts w:hint="eastAsia" w:eastAsia="仿宋_GB2312"/>
          <w:sz w:val="32"/>
          <w:szCs w:val="32"/>
          <w:lang w:eastAsia="zh-CN" w:bidi="ar"/>
        </w:rPr>
        <w:t>按照公司法要求做好公司章程的配套修订工作，</w:t>
      </w:r>
      <w:r>
        <w:rPr>
          <w:rFonts w:hint="eastAsia" w:eastAsia="仿宋_GB2312"/>
          <w:sz w:val="32"/>
          <w:szCs w:val="32"/>
          <w:lang w:bidi="ar"/>
        </w:rPr>
        <w:t>助力</w:t>
      </w:r>
      <w:r>
        <w:rPr>
          <w:rFonts w:hint="eastAsia" w:eastAsia="仿宋_GB2312"/>
          <w:sz w:val="32"/>
          <w:szCs w:val="32"/>
          <w:lang w:eastAsia="zh-CN" w:bidi="ar"/>
        </w:rPr>
        <w:t>企业</w:t>
      </w:r>
      <w:r>
        <w:rPr>
          <w:rFonts w:hint="eastAsia" w:eastAsia="仿宋_GB2312"/>
          <w:sz w:val="32"/>
          <w:szCs w:val="32"/>
          <w:lang w:bidi="ar"/>
        </w:rPr>
        <w:t>优化治理</w:t>
      </w:r>
      <w:r>
        <w:rPr>
          <w:rFonts w:hint="eastAsia" w:eastAsia="仿宋_GB2312"/>
          <w:sz w:val="32"/>
          <w:szCs w:val="32"/>
          <w:lang w:eastAsia="zh-CN" w:bidi="ar"/>
        </w:rPr>
        <w:t>、</w:t>
      </w:r>
      <w:r>
        <w:rPr>
          <w:rFonts w:hint="eastAsia" w:eastAsia="仿宋_GB2312"/>
          <w:sz w:val="32"/>
          <w:szCs w:val="32"/>
          <w:lang w:bidi="ar"/>
        </w:rPr>
        <w:t>强化合规</w:t>
      </w:r>
      <w:r>
        <w:rPr>
          <w:rFonts w:hint="eastAsia" w:eastAsia="仿宋_GB2312"/>
          <w:sz w:val="32"/>
          <w:szCs w:val="32"/>
          <w:lang w:eastAsia="zh-CN" w:bidi="ar"/>
        </w:rPr>
        <w:t>，不断提升</w:t>
      </w:r>
      <w:r>
        <w:rPr>
          <w:rFonts w:hint="eastAsia" w:eastAsia="仿宋_GB2312"/>
          <w:sz w:val="32"/>
          <w:szCs w:val="32"/>
          <w:lang w:bidi="ar"/>
        </w:rPr>
        <w:t>依法治企能力。</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YaHe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80D9E"/>
    <w:rsid w:val="3BAE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2024-12-18T03:24:08Z</dcterms:created>
  <dc:creator>panzhipeng</dc:creator>
  <cp:lastModifiedBy>猪猪侠</cp:lastModifiedBy>
  <dcterms:modified xsi:type="dcterms:W3CDTF">2024-12-18T04:42:51Z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